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825A" w14:textId="08D76295" w:rsidR="00831721" w:rsidRDefault="00B30983" w:rsidP="00220470">
      <w:pPr>
        <w:tabs>
          <w:tab w:val="left" w:pos="4567"/>
        </w:tabs>
        <w:spacing w:before="120" w:after="0"/>
        <w:ind w:left="0"/>
      </w:pPr>
      <w:r>
        <w:rPr>
          <w:noProof/>
        </w:rPr>
        <mc:AlternateContent>
          <mc:Choice Requires="wps">
            <w:drawing>
              <wp:anchor distT="45720" distB="45720" distL="114300" distR="114300" simplePos="0" relativeHeight="251658240" behindDoc="0" locked="0" layoutInCell="1" allowOverlap="1" wp14:anchorId="4C6943CE" wp14:editId="7E680110">
                <wp:simplePos x="0" y="0"/>
                <wp:positionH relativeFrom="column">
                  <wp:posOffset>4938712</wp:posOffset>
                </wp:positionH>
                <wp:positionV relativeFrom="paragraph">
                  <wp:posOffset>209550</wp:posOffset>
                </wp:positionV>
                <wp:extent cx="2038350" cy="310515"/>
                <wp:effectExtent l="0" t="0" r="19050" b="13335"/>
                <wp:wrapSquare wrapText="bothSides"/>
                <wp:docPr id="2007023436" name="Text Box 2007023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10515"/>
                        </a:xfrm>
                        <a:prstGeom prst="rect">
                          <a:avLst/>
                        </a:prstGeom>
                        <a:solidFill>
                          <a:srgbClr val="FFFFFF"/>
                        </a:solidFill>
                        <a:ln w="9525">
                          <a:solidFill>
                            <a:srgbClr val="000000"/>
                          </a:solidFill>
                          <a:miter lim="800000"/>
                          <a:headEnd/>
                          <a:tailEnd/>
                        </a:ln>
                      </wps:spPr>
                      <wps:txbx>
                        <w:txbxContent>
                          <w:p w14:paraId="6C61FB32" w14:textId="560F3CBF" w:rsidR="00B67668" w:rsidRPr="00FA2F18" w:rsidRDefault="00D670B8" w:rsidP="00185709">
                            <w:pPr>
                              <w:spacing w:before="0"/>
                              <w:jc w:val="center"/>
                              <w:rPr>
                                <w:b/>
                                <w:bCs/>
                                <w:color w:val="auto"/>
                                <w:sz w:val="32"/>
                                <w:szCs w:val="24"/>
                              </w:rPr>
                            </w:pPr>
                            <w:r>
                              <w:rPr>
                                <w:b/>
                                <w:bCs/>
                                <w:color w:val="auto"/>
                                <w:sz w:val="32"/>
                                <w:szCs w:val="24"/>
                              </w:rPr>
                              <w:t>Medicaid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943CE" id="_x0000_t202" coordsize="21600,21600" o:spt="202" path="m,l,21600r21600,l21600,xe">
                <v:stroke joinstyle="miter"/>
                <v:path gradientshapeok="t" o:connecttype="rect"/>
              </v:shapetype>
              <v:shape id="Text Box 2007023436" o:spid="_x0000_s1026" type="#_x0000_t202" style="position:absolute;margin-left:388.85pt;margin-top:16.5pt;width:160.5pt;height:2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">
                <v:textbox>
                  <w:txbxContent>
                    <w:p w14:paraId="6C61FB32" w14:textId="560F3CBF" w:rsidR="00B67668" w:rsidRPr="00FA2F18" w:rsidRDefault="00D670B8" w:rsidP="00185709">
                      <w:pPr>
                        <w:spacing w:before="0"/>
                        <w:jc w:val="center"/>
                        <w:rPr>
                          <w:b/>
                          <w:bCs/>
                          <w:color w:val="auto"/>
                          <w:sz w:val="32"/>
                          <w:szCs w:val="24"/>
                        </w:rPr>
                      </w:pPr>
                      <w:r>
                        <w:rPr>
                          <w:b/>
                          <w:bCs/>
                          <w:color w:val="auto"/>
                          <w:sz w:val="32"/>
                          <w:szCs w:val="24"/>
                        </w:rPr>
                        <w:t>Medicaid</w:t>
                      </w:r>
                    </w:p>
                  </w:txbxContent>
                </v:textbox>
                <w10:wrap type="square"/>
              </v:shape>
            </w:pict>
          </mc:Fallback>
        </mc:AlternateContent>
      </w:r>
      <w:r w:rsidR="00A36AEE">
        <w:rPr>
          <w:noProof/>
        </w:rPr>
        <w:drawing>
          <wp:anchor distT="0" distB="0" distL="114300" distR="114300" simplePos="0" relativeHeight="251658241" behindDoc="1" locked="0" layoutInCell="1" allowOverlap="1" wp14:anchorId="040C72CF" wp14:editId="295670E5">
            <wp:simplePos x="0" y="0"/>
            <wp:positionH relativeFrom="column">
              <wp:posOffset>-585788</wp:posOffset>
            </wp:positionH>
            <wp:positionV relativeFrom="paragraph">
              <wp:posOffset>-852488</wp:posOffset>
            </wp:positionV>
            <wp:extent cx="8102600" cy="1914526"/>
            <wp:effectExtent l="0" t="0" r="0" b="9525"/>
            <wp:wrapNone/>
            <wp:docPr id="680933102" name="Picture 68093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3075" cy="1917001"/>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top"/>
      <w:bookmarkEnd w:id="0"/>
      <w:r w:rsidR="00207D9C">
        <w:rPr>
          <w:noProof/>
        </w:rPr>
        <w:drawing>
          <wp:inline distT="0" distB="0" distL="0" distR="0" wp14:anchorId="261C27DA" wp14:editId="2E26E190">
            <wp:extent cx="2343150" cy="614542"/>
            <wp:effectExtent l="0" t="0" r="0" b="0"/>
            <wp:docPr id="346233541" name="Picture 34623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3354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343150" cy="614542"/>
                    </a:xfrm>
                    <a:prstGeom prst="rect">
                      <a:avLst/>
                    </a:prstGeom>
                  </pic:spPr>
                </pic:pic>
              </a:graphicData>
            </a:graphic>
          </wp:inline>
        </w:drawing>
      </w:r>
      <w:r w:rsidR="004B69D2">
        <w:tab/>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0CFFBA1D" w14:textId="77777777" w:rsidTr="00A6783B">
        <w:trPr>
          <w:trHeight w:val="270"/>
          <w:jc w:val="center"/>
        </w:trPr>
        <w:tc>
          <w:tcPr>
            <w:tcW w:w="10800" w:type="dxa"/>
          </w:tcPr>
          <w:p w14:paraId="1A06ABF6" w14:textId="452E11B7" w:rsidR="00A66B18" w:rsidRPr="0041428F" w:rsidRDefault="00A66B18" w:rsidP="00A66B18">
            <w:pPr>
              <w:pStyle w:val="ContactInfo"/>
              <w:rPr>
                <w:color w:val="000000" w:themeColor="text1"/>
              </w:rPr>
            </w:pPr>
          </w:p>
        </w:tc>
      </w:tr>
    </w:tbl>
    <w:p w14:paraId="735C0EBA" w14:textId="77777777" w:rsidR="0096055A" w:rsidRDefault="0096055A" w:rsidP="001B27FC">
      <w:pPr>
        <w:tabs>
          <w:tab w:val="left" w:pos="10080"/>
        </w:tabs>
        <w:jc w:val="center"/>
        <w:rPr>
          <w:rFonts w:ascii="Georgia" w:hAnsi="Georgia" w:cs="Calibri"/>
          <w:b/>
          <w:color w:val="auto"/>
          <w:sz w:val="40"/>
          <w:szCs w:val="40"/>
        </w:rPr>
      </w:pPr>
    </w:p>
    <w:p w14:paraId="5DD649CA" w14:textId="058BAB4D" w:rsidR="001B27FC" w:rsidRPr="009B1398" w:rsidRDefault="00347FFA" w:rsidP="001B27FC">
      <w:pPr>
        <w:tabs>
          <w:tab w:val="left" w:pos="10080"/>
        </w:tabs>
        <w:jc w:val="center"/>
        <w:rPr>
          <w:rFonts w:ascii="Georgia" w:hAnsi="Georgia" w:cs="Calibri"/>
          <w:b/>
          <w:bCs/>
          <w:color w:val="auto"/>
          <w:sz w:val="40"/>
          <w:szCs w:val="40"/>
        </w:rPr>
      </w:pPr>
      <w:r w:rsidRPr="0062053E">
        <w:rPr>
          <w:rFonts w:ascii="Calibri" w:eastAsia="Calibri" w:hAnsi="Calibri" w:cs="Times New Roman"/>
          <w:noProof/>
          <w:color w:val="auto"/>
          <w:kern w:val="0"/>
          <w:sz w:val="22"/>
          <w:szCs w:val="22"/>
          <w:lang w:eastAsia="en-US"/>
        </w:rPr>
        <mc:AlternateContent>
          <mc:Choice Requires="wps">
            <w:drawing>
              <wp:anchor distT="45720" distB="45720" distL="114300" distR="114300" simplePos="0" relativeHeight="251658242" behindDoc="0" locked="0" layoutInCell="1" allowOverlap="1" wp14:anchorId="5DAD2E8A" wp14:editId="0C06E0C7">
                <wp:simplePos x="0" y="0"/>
                <wp:positionH relativeFrom="margin">
                  <wp:posOffset>3810</wp:posOffset>
                </wp:positionH>
                <wp:positionV relativeFrom="paragraph">
                  <wp:posOffset>537210</wp:posOffset>
                </wp:positionV>
                <wp:extent cx="3180080" cy="1685290"/>
                <wp:effectExtent l="0" t="0" r="20320" b="10160"/>
                <wp:wrapSquare wrapText="bothSides"/>
                <wp:docPr id="1650642409" name="Text Box 1650642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685290"/>
                        </a:xfrm>
                        <a:prstGeom prst="rect">
                          <a:avLst/>
                        </a:prstGeom>
                        <a:solidFill>
                          <a:sysClr val="window" lastClr="FFFFFF"/>
                        </a:solidFill>
                        <a:ln w="12700" cap="flat" cmpd="sng" algn="ctr">
                          <a:solidFill>
                            <a:schemeClr val="accent1">
                              <a:lumMod val="40000"/>
                              <a:lumOff val="60000"/>
                            </a:schemeClr>
                          </a:solidFill>
                          <a:prstDash val="solid"/>
                          <a:miter lim="800000"/>
                          <a:headEnd/>
                          <a:tailEnd/>
                        </a:ln>
                        <a:effectLst/>
                      </wps:spPr>
                      <wps:txbx>
                        <w:txbxContent>
                          <w:p w14:paraId="646AE254" w14:textId="77777777" w:rsidR="0062053E" w:rsidRPr="001A338B" w:rsidRDefault="0062053E" w:rsidP="0062053E">
                            <w:pPr>
                              <w:spacing w:before="0" w:after="0"/>
                              <w:ind w:left="0" w:right="0"/>
                              <w:jc w:val="center"/>
                              <w:rPr>
                                <w:rFonts w:ascii="Georgia" w:eastAsia="Calibri" w:hAnsi="Georgia" w:cs="Times New Roman"/>
                                <w:b/>
                                <w:bCs/>
                                <w:color w:val="auto"/>
                                <w:kern w:val="0"/>
                                <w:szCs w:val="24"/>
                                <w:lang w:eastAsia="en-US"/>
                              </w:rPr>
                            </w:pPr>
                            <w:r w:rsidRPr="001A338B">
                              <w:rPr>
                                <w:rFonts w:ascii="Georgia" w:eastAsia="Calibri" w:hAnsi="Georgia" w:cs="Times New Roman"/>
                                <w:b/>
                                <w:bCs/>
                                <w:color w:val="auto"/>
                                <w:kern w:val="0"/>
                                <w:szCs w:val="24"/>
                                <w:lang w:eastAsia="en-US"/>
                              </w:rPr>
                              <w:t>Table of Content</w:t>
                            </w:r>
                          </w:p>
                          <w:p w14:paraId="5DB57F00" w14:textId="59515E7F" w:rsidR="006C0C8B" w:rsidRDefault="0062053E" w:rsidP="00347FFA">
                            <w:pPr>
                              <w:spacing w:before="0" w:after="0" w:line="360" w:lineRule="auto"/>
                              <w:ind w:left="0" w:right="0"/>
                              <w:rPr>
                                <w:rStyle w:val="Hyperlink"/>
                                <w:rFonts w:ascii="Georgia" w:hAnsi="Georgia"/>
                              </w:rPr>
                            </w:pPr>
                            <w:hyperlink w:anchor="_Purpose:" w:history="1">
                              <w:r w:rsidRPr="0060768A">
                                <w:rPr>
                                  <w:rStyle w:val="Hyperlink"/>
                                  <w:rFonts w:ascii="Georgia" w:hAnsi="Georgia"/>
                                </w:rPr>
                                <w:t>Purpose</w:t>
                              </w:r>
                            </w:hyperlink>
                            <w:r w:rsidR="006B0543">
                              <w:rPr>
                                <w:rStyle w:val="Hyperlink"/>
                                <w:rFonts w:ascii="Georgia" w:hAnsi="Georgia"/>
                              </w:rPr>
                              <w:t xml:space="preserve"> </w:t>
                            </w:r>
                            <w:r w:rsidR="006B0543" w:rsidRPr="006B0543">
                              <w:rPr>
                                <w:rStyle w:val="Hyperlink"/>
                                <w:rFonts w:ascii="Georgia" w:hAnsi="Georgia"/>
                                <w:u w:val="none"/>
                              </w:rPr>
                              <w:t xml:space="preserve">                               </w:t>
                            </w:r>
                            <w:hyperlink w:anchor="_Required_activities:" w:history="1">
                              <w:r w:rsidR="006C0C8B" w:rsidRPr="006B0543">
                                <w:rPr>
                                  <w:rStyle w:val="Hyperlink"/>
                                  <w:rFonts w:ascii="Georgia" w:eastAsia="Calibri" w:hAnsi="Georgia" w:cs="Times New Roman"/>
                                  <w:kern w:val="0"/>
                                  <w:sz w:val="22"/>
                                  <w:szCs w:val="22"/>
                                  <w:lang w:eastAsia="en-US"/>
                                </w:rPr>
                                <w:t>Required activities</w:t>
                              </w:r>
                            </w:hyperlink>
                          </w:p>
                          <w:p w14:paraId="29BB2884" w14:textId="39C5FC32" w:rsidR="006C0C8B" w:rsidRPr="006C0C8B" w:rsidRDefault="006C0C8B" w:rsidP="00347FFA">
                            <w:pPr>
                              <w:spacing w:before="0" w:after="0" w:line="360" w:lineRule="auto"/>
                              <w:ind w:left="0" w:right="0"/>
                              <w:rPr>
                                <w:rFonts w:ascii="Georgia" w:eastAsia="Calibri" w:hAnsi="Georgia" w:cs="Times New Roman"/>
                                <w:color w:val="auto"/>
                                <w:kern w:val="0"/>
                                <w:sz w:val="22"/>
                                <w:szCs w:val="22"/>
                                <w:u w:val="single"/>
                                <w:lang w:eastAsia="en-US"/>
                              </w:rPr>
                            </w:pPr>
                            <w:hyperlink w:anchor="_Service_Requirements:" w:history="1">
                              <w:r w:rsidRPr="006C0C8B">
                                <w:rPr>
                                  <w:rStyle w:val="Hyperlink"/>
                                  <w:rFonts w:ascii="Georgia" w:eastAsia="Calibri" w:hAnsi="Georgia" w:cs="Times New Roman"/>
                                  <w:kern w:val="0"/>
                                  <w:sz w:val="22"/>
                                  <w:szCs w:val="22"/>
                                  <w:lang w:eastAsia="en-US"/>
                                </w:rPr>
                                <w:t>Service Requirements</w:t>
                              </w:r>
                              <w:r w:rsidRPr="009B1398">
                                <w:rPr>
                                  <w:rStyle w:val="Hyperlink"/>
                                  <w:u w:val="none"/>
                                </w:rPr>
                                <w:t xml:space="preserve">         </w:t>
                              </w:r>
                            </w:hyperlink>
                            <w:r w:rsidRPr="006C0C8B">
                              <w:t xml:space="preserve"> </w:t>
                            </w:r>
                            <w:hyperlink w:anchor="_Coding:" w:history="1">
                              <w:r w:rsidRPr="00AE6E93">
                                <w:rPr>
                                  <w:rStyle w:val="Hyperlink"/>
                                  <w:rFonts w:ascii="Georgia" w:eastAsia="Calibri" w:hAnsi="Georgia" w:cs="Times New Roman"/>
                                  <w:kern w:val="0"/>
                                  <w:sz w:val="22"/>
                                  <w:szCs w:val="22"/>
                                  <w:lang w:eastAsia="en-US"/>
                                </w:rPr>
                                <w:t xml:space="preserve">Coding </w:t>
                              </w:r>
                            </w:hyperlink>
                          </w:p>
                          <w:p w14:paraId="1C722C0E" w14:textId="128A2892" w:rsidR="0062053E" w:rsidRPr="00D805B3" w:rsidRDefault="0062053E" w:rsidP="00347FFA">
                            <w:pPr>
                              <w:spacing w:before="0" w:after="0" w:line="360" w:lineRule="auto"/>
                              <w:ind w:left="0" w:right="0"/>
                              <w:rPr>
                                <w:rFonts w:ascii="Georgia" w:eastAsia="Calibri" w:hAnsi="Georgia" w:cs="Times New Roman"/>
                                <w:color w:val="auto"/>
                                <w:kern w:val="0"/>
                                <w:sz w:val="22"/>
                                <w:szCs w:val="22"/>
                                <w:lang w:eastAsia="en-US"/>
                              </w:rPr>
                            </w:pPr>
                            <w:hyperlink w:anchor="_Description_&amp;_Definitions:" w:history="1">
                              <w:r w:rsidRPr="0060768A">
                                <w:rPr>
                                  <w:rStyle w:val="Hyperlink"/>
                                  <w:rFonts w:ascii="Georgia" w:eastAsia="Calibri" w:hAnsi="Georgia" w:cs="Times New Roman"/>
                                  <w:kern w:val="0"/>
                                  <w:sz w:val="22"/>
                                  <w:szCs w:val="22"/>
                                  <w:lang w:eastAsia="en-US"/>
                                </w:rPr>
                                <w:t>Description &amp; Definitions</w:t>
                              </w:r>
                              <w:r w:rsidR="006B0543" w:rsidRPr="006B0543">
                                <w:rPr>
                                  <w:rStyle w:val="Hyperlink"/>
                                  <w:rFonts w:ascii="Georgia" w:eastAsia="Calibri" w:hAnsi="Georgia" w:cs="Times New Roman"/>
                                  <w:kern w:val="0"/>
                                  <w:sz w:val="22"/>
                                  <w:szCs w:val="22"/>
                                  <w:u w:val="none"/>
                                  <w:lang w:eastAsia="en-US"/>
                                </w:rPr>
                                <w:t xml:space="preserve">    </w:t>
                              </w:r>
                              <w:r w:rsidRPr="006B0543">
                                <w:rPr>
                                  <w:rStyle w:val="Hyperlink"/>
                                  <w:rFonts w:ascii="Georgia" w:eastAsia="Calibri" w:hAnsi="Georgia" w:cs="Times New Roman"/>
                                  <w:kern w:val="0"/>
                                  <w:sz w:val="22"/>
                                  <w:szCs w:val="22"/>
                                  <w:u w:val="none"/>
                                  <w:lang w:eastAsia="en-US"/>
                                </w:rPr>
                                <w:t xml:space="preserve"> </w:t>
                              </w:r>
                            </w:hyperlink>
                            <w:hyperlink w:anchor="_Document_History:" w:history="1">
                              <w:r w:rsidR="006B0543" w:rsidRPr="00AE6E93">
                                <w:rPr>
                                  <w:rStyle w:val="Hyperlink"/>
                                  <w:rFonts w:ascii="Georgia" w:eastAsia="Calibri" w:hAnsi="Georgia" w:cs="Times New Roman"/>
                                  <w:kern w:val="0"/>
                                  <w:sz w:val="22"/>
                                  <w:szCs w:val="22"/>
                                  <w:lang w:eastAsia="en-US"/>
                                </w:rPr>
                                <w:t>Document History</w:t>
                              </w:r>
                            </w:hyperlink>
                          </w:p>
                          <w:p w14:paraId="6310DD3D" w14:textId="6E60E0E1" w:rsidR="0062053E" w:rsidRDefault="00B9212D" w:rsidP="00347FFA">
                            <w:pPr>
                              <w:spacing w:before="0" w:after="0" w:line="360" w:lineRule="auto"/>
                              <w:ind w:left="0" w:right="0"/>
                              <w:rPr>
                                <w:rStyle w:val="Hyperlink"/>
                                <w:rFonts w:ascii="Georgia" w:eastAsia="Calibri" w:hAnsi="Georgia" w:cs="Times New Roman"/>
                                <w:kern w:val="0"/>
                                <w:sz w:val="22"/>
                                <w:szCs w:val="22"/>
                                <w:lang w:eastAsia="en-US"/>
                              </w:rPr>
                            </w:pPr>
                            <w:hyperlink w:anchor="_Criteria:" w:history="1">
                              <w:r>
                                <w:rPr>
                                  <w:rStyle w:val="Hyperlink"/>
                                  <w:rFonts w:ascii="Georgia" w:eastAsia="Calibri" w:hAnsi="Georgia" w:cs="Times New Roman"/>
                                  <w:kern w:val="0"/>
                                  <w:sz w:val="22"/>
                                  <w:szCs w:val="22"/>
                                  <w:lang w:eastAsia="en-US"/>
                                </w:rPr>
                                <w:t>C</w:t>
                              </w:r>
                              <w:r w:rsidR="0062053E" w:rsidRPr="00AE6E93">
                                <w:rPr>
                                  <w:rStyle w:val="Hyperlink"/>
                                  <w:rFonts w:ascii="Georgia" w:eastAsia="Calibri" w:hAnsi="Georgia" w:cs="Times New Roman"/>
                                  <w:kern w:val="0"/>
                                  <w:sz w:val="22"/>
                                  <w:szCs w:val="22"/>
                                  <w:lang w:eastAsia="en-US"/>
                                </w:rPr>
                                <w:t>riteria</w:t>
                              </w:r>
                            </w:hyperlink>
                            <w:r w:rsidR="006B0543" w:rsidRPr="006B0543">
                              <w:rPr>
                                <w:rStyle w:val="Hyperlink"/>
                                <w:rFonts w:ascii="Georgia" w:eastAsia="Calibri" w:hAnsi="Georgia" w:cs="Times New Roman"/>
                                <w:kern w:val="0"/>
                                <w:sz w:val="22"/>
                                <w:szCs w:val="22"/>
                                <w:u w:val="none"/>
                                <w:lang w:eastAsia="en-US"/>
                              </w:rPr>
                              <w:t xml:space="preserve">           </w:t>
                            </w:r>
                            <w:r w:rsidR="00200247">
                              <w:rPr>
                                <w:rStyle w:val="Hyperlink"/>
                                <w:rFonts w:ascii="Georgia" w:eastAsia="Calibri" w:hAnsi="Georgia" w:cs="Times New Roman"/>
                                <w:kern w:val="0"/>
                                <w:sz w:val="22"/>
                                <w:szCs w:val="22"/>
                                <w:u w:val="none"/>
                                <w:lang w:eastAsia="en-US"/>
                              </w:rPr>
                              <w:t xml:space="preserve">                  </w:t>
                            </w:r>
                            <w:r w:rsidR="006B0543" w:rsidRPr="006B0543">
                              <w:rPr>
                                <w:rStyle w:val="Hyperlink"/>
                                <w:rFonts w:ascii="Georgia" w:eastAsia="Calibri" w:hAnsi="Georgia" w:cs="Times New Roman"/>
                                <w:kern w:val="0"/>
                                <w:sz w:val="22"/>
                                <w:szCs w:val="22"/>
                                <w:u w:val="none"/>
                                <w:lang w:eastAsia="en-US"/>
                              </w:rPr>
                              <w:t xml:space="preserve">        </w:t>
                            </w:r>
                            <w:hyperlink w:anchor="_References:" w:history="1">
                              <w:r w:rsidR="006B0543" w:rsidRPr="00AE6E93">
                                <w:rPr>
                                  <w:rStyle w:val="Hyperlink"/>
                                  <w:rFonts w:ascii="Georgia" w:eastAsia="Calibri" w:hAnsi="Georgia" w:cs="Times New Roman"/>
                                  <w:kern w:val="0"/>
                                  <w:sz w:val="22"/>
                                  <w:szCs w:val="22"/>
                                  <w:lang w:eastAsia="en-US"/>
                                </w:rPr>
                                <w:t>Refe</w:t>
                              </w:r>
                              <w:bookmarkStart w:id="1" w:name="_Hlt151111067"/>
                              <w:r w:rsidR="006B0543" w:rsidRPr="00AE6E93">
                                <w:rPr>
                                  <w:rStyle w:val="Hyperlink"/>
                                  <w:rFonts w:ascii="Georgia" w:eastAsia="Calibri" w:hAnsi="Georgia" w:cs="Times New Roman"/>
                                  <w:kern w:val="0"/>
                                  <w:sz w:val="22"/>
                                  <w:szCs w:val="22"/>
                                  <w:lang w:eastAsia="en-US"/>
                                </w:rPr>
                                <w:t>r</w:t>
                              </w:r>
                              <w:bookmarkEnd w:id="1"/>
                              <w:r w:rsidR="006B0543" w:rsidRPr="00AE6E93">
                                <w:rPr>
                                  <w:rStyle w:val="Hyperlink"/>
                                  <w:rFonts w:ascii="Georgia" w:eastAsia="Calibri" w:hAnsi="Georgia" w:cs="Times New Roman"/>
                                  <w:kern w:val="0"/>
                                  <w:sz w:val="22"/>
                                  <w:szCs w:val="22"/>
                                  <w:lang w:eastAsia="en-US"/>
                                </w:rPr>
                                <w:t>ences</w:t>
                              </w:r>
                            </w:hyperlink>
                            <w:r w:rsidR="006B0543" w:rsidRPr="00777B22">
                              <w:rPr>
                                <w:rFonts w:ascii="Georgia" w:eastAsia="Calibri" w:hAnsi="Georgia" w:cs="Times New Roman"/>
                                <w:kern w:val="0"/>
                                <w:sz w:val="22"/>
                                <w:szCs w:val="22"/>
                                <w:lang w:eastAsia="en-US"/>
                              </w:rPr>
                              <w:t xml:space="preserve"> </w:t>
                            </w:r>
                          </w:p>
                          <w:p w14:paraId="166AF5BF" w14:textId="53B93551" w:rsidR="006B0543" w:rsidRDefault="006B0543" w:rsidP="00347FFA">
                            <w:pPr>
                              <w:spacing w:before="0" w:after="0" w:line="360" w:lineRule="auto"/>
                              <w:ind w:left="0" w:right="0"/>
                              <w:rPr>
                                <w:rFonts w:ascii="Georgia" w:eastAsia="Calibri" w:hAnsi="Georgia" w:cs="Times New Roman"/>
                                <w:color w:val="auto"/>
                                <w:kern w:val="0"/>
                                <w:sz w:val="22"/>
                                <w:szCs w:val="22"/>
                                <w:u w:val="single"/>
                                <w:lang w:eastAsia="en-US"/>
                              </w:rPr>
                            </w:pPr>
                            <w:hyperlink w:anchor="_Special_Notes:_*" w:history="1">
                              <w:r w:rsidRPr="00AE6E93">
                                <w:rPr>
                                  <w:rStyle w:val="Hyperlink"/>
                                  <w:rFonts w:ascii="Georgia" w:eastAsia="Calibri" w:hAnsi="Georgia" w:cs="Times New Roman"/>
                                  <w:kern w:val="0"/>
                                  <w:sz w:val="22"/>
                                  <w:szCs w:val="22"/>
                                  <w:lang w:eastAsia="en-US"/>
                                </w:rPr>
                                <w:t>Special Notes</w:t>
                              </w:r>
                            </w:hyperlink>
                            <w:r w:rsidR="00200247" w:rsidRPr="00200247">
                              <w:rPr>
                                <w:rStyle w:val="Hyperlink"/>
                                <w:rFonts w:ascii="Georgia" w:eastAsia="Calibri" w:hAnsi="Georgia" w:cs="Times New Roman"/>
                                <w:kern w:val="0"/>
                                <w:sz w:val="22"/>
                                <w:szCs w:val="22"/>
                                <w:u w:val="none"/>
                                <w:lang w:eastAsia="en-US"/>
                              </w:rPr>
                              <w:tab/>
                            </w:r>
                            <w:r w:rsidR="00200247" w:rsidRPr="00200247">
                              <w:rPr>
                                <w:rStyle w:val="Hyperlink"/>
                                <w:rFonts w:ascii="Georgia" w:eastAsia="Calibri" w:hAnsi="Georgia" w:cs="Times New Roman"/>
                                <w:kern w:val="0"/>
                                <w:sz w:val="22"/>
                                <w:szCs w:val="22"/>
                                <w:u w:val="none"/>
                                <w:lang w:eastAsia="en-US"/>
                              </w:rPr>
                              <w:tab/>
                              <w:t xml:space="preserve">          </w:t>
                            </w:r>
                            <w:r w:rsidR="00200247" w:rsidRPr="006B0543">
                              <w:rPr>
                                <w:rStyle w:val="Hyperlink"/>
                                <w:rFonts w:ascii="Georgia" w:eastAsia="Calibri" w:hAnsi="Georgia" w:cs="Times New Roman"/>
                                <w:color w:val="auto"/>
                                <w:kern w:val="0"/>
                                <w:sz w:val="22"/>
                                <w:szCs w:val="22"/>
                                <w:lang w:eastAsia="en-US"/>
                              </w:rPr>
                              <w:t>Keyw</w:t>
                            </w:r>
                            <w:bookmarkStart w:id="2" w:name="_Hlt151110995"/>
                            <w:r w:rsidR="00200247" w:rsidRPr="006B0543">
                              <w:rPr>
                                <w:rStyle w:val="Hyperlink"/>
                                <w:rFonts w:ascii="Georgia" w:eastAsia="Calibri" w:hAnsi="Georgia" w:cs="Times New Roman"/>
                                <w:color w:val="auto"/>
                                <w:kern w:val="0"/>
                                <w:sz w:val="22"/>
                                <w:szCs w:val="22"/>
                                <w:lang w:eastAsia="en-US"/>
                              </w:rPr>
                              <w:t>o</w:t>
                            </w:r>
                            <w:bookmarkEnd w:id="2"/>
                            <w:r w:rsidR="00200247" w:rsidRPr="006B0543">
                              <w:rPr>
                                <w:rStyle w:val="Hyperlink"/>
                                <w:rFonts w:ascii="Georgia" w:eastAsia="Calibri" w:hAnsi="Georgia" w:cs="Times New Roman"/>
                                <w:color w:val="auto"/>
                                <w:kern w:val="0"/>
                                <w:sz w:val="22"/>
                                <w:szCs w:val="22"/>
                                <w:lang w:eastAsia="en-US"/>
                              </w:rPr>
                              <w:t>rds</w:t>
                            </w:r>
                          </w:p>
                          <w:p w14:paraId="11608635" w14:textId="7F169136" w:rsidR="006B0543" w:rsidRDefault="006B0543" w:rsidP="00347FFA">
                            <w:pPr>
                              <w:spacing w:before="0" w:after="0" w:line="360" w:lineRule="auto"/>
                              <w:ind w:left="0" w:right="0"/>
                              <w:rPr>
                                <w:rStyle w:val="Hyperlink"/>
                                <w:rFonts w:ascii="Georgia" w:eastAsia="Calibri" w:hAnsi="Georgia" w:cs="Times New Roman"/>
                                <w:color w:val="auto"/>
                                <w:kern w:val="0"/>
                                <w:sz w:val="22"/>
                                <w:szCs w:val="22"/>
                                <w:lang w:eastAsia="en-US"/>
                              </w:rPr>
                            </w:pPr>
                            <w:hyperlink w:anchor="_Discharge_Guidelines:" w:history="1">
                              <w:r w:rsidRPr="006B0543">
                                <w:rPr>
                                  <w:rStyle w:val="Hyperlink"/>
                                  <w:rFonts w:ascii="Georgia" w:eastAsia="Calibri" w:hAnsi="Georgia" w:cs="Times New Roman"/>
                                  <w:kern w:val="0"/>
                                  <w:sz w:val="22"/>
                                  <w:szCs w:val="22"/>
                                  <w:lang w:eastAsia="en-US"/>
                                </w:rPr>
                                <w:t>Discharge Guideline</w:t>
                              </w:r>
                            </w:hyperlink>
                            <w:r w:rsidRPr="006B0543">
                              <w:rPr>
                                <w:rStyle w:val="Hyperlink"/>
                                <w:rFonts w:ascii="Georgia" w:eastAsia="Calibri" w:hAnsi="Georgia" w:cs="Times New Roman"/>
                                <w:color w:val="auto"/>
                                <w:kern w:val="0"/>
                                <w:sz w:val="22"/>
                                <w:szCs w:val="22"/>
                                <w:u w:val="none"/>
                                <w:lang w:eastAsia="en-US"/>
                              </w:rPr>
                              <w:t xml:space="preserve">              </w:t>
                            </w:r>
                          </w:p>
                          <w:p w14:paraId="596E7FC2" w14:textId="5A9A2C6F" w:rsidR="0062053E" w:rsidRPr="00D805B3" w:rsidRDefault="0062053E" w:rsidP="0062053E">
                            <w:pPr>
                              <w:spacing w:before="0" w:after="0"/>
                              <w:ind w:left="0" w:right="0"/>
                              <w:rPr>
                                <w:rFonts w:ascii="Georgia" w:eastAsia="Calibri" w:hAnsi="Georgia" w:cs="Times New Roman"/>
                                <w:color w:val="auto"/>
                                <w:kern w:val="0"/>
                                <w:sz w:val="22"/>
                                <w:szCs w:val="22"/>
                                <w:lang w:eastAsia="en-US"/>
                              </w:rPr>
                            </w:pPr>
                          </w:p>
                          <w:p w14:paraId="574F8492" w14:textId="57C3E98F" w:rsidR="0062053E" w:rsidRPr="00A30A41" w:rsidRDefault="0062053E" w:rsidP="0062053E">
                            <w:pPr>
                              <w:spacing w:before="0" w:after="0"/>
                              <w:ind w:left="0" w:right="0"/>
                              <w:rPr>
                                <w:rFonts w:ascii="Calibri" w:eastAsia="Calibri" w:hAnsi="Calibri" w:cs="Times New Roman"/>
                                <w:color w:val="auto"/>
                                <w:kern w:val="0"/>
                                <w:szCs w:val="24"/>
                                <w:lang w:eastAsia="en-US"/>
                              </w:rPr>
                            </w:pPr>
                            <w:hyperlink w:anchor="_Keywords:" w:history="1">
                              <w:r w:rsidRPr="00AE6E93">
                                <w:rPr>
                                  <w:rStyle w:val="Hyperlink"/>
                                  <w:rFonts w:ascii="Georgia" w:eastAsia="Calibri" w:hAnsi="Georgia" w:cs="Times New Roman"/>
                                  <w:kern w:val="0"/>
                                  <w:sz w:val="22"/>
                                  <w:szCs w:val="22"/>
                                  <w:lang w:eastAsia="en-US"/>
                                </w:rPr>
                                <w:t xml:space="preserve"> </w:t>
                              </w:r>
                            </w:hyperlink>
                            <w:r w:rsidRPr="00A30A41">
                              <w:rPr>
                                <w:rFonts w:ascii="Calibri" w:eastAsia="Calibri" w:hAnsi="Calibri" w:cs="Times New Roman"/>
                                <w:color w:val="auto"/>
                                <w:kern w:val="0"/>
                                <w:szCs w:val="24"/>
                                <w:lang w:eastAsia="en-US"/>
                              </w:rPr>
                              <w:br/>
                            </w:r>
                          </w:p>
                          <w:p w14:paraId="209DA8D0" w14:textId="77777777" w:rsidR="0062053E" w:rsidRDefault="0062053E" w:rsidP="0062053E"/>
                          <w:p w14:paraId="5B61E9E2" w14:textId="77777777" w:rsidR="0062053E" w:rsidRDefault="0062053E" w:rsidP="00620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D2E8A" id="Text Box 1650642409" o:spid="_x0000_s1027" type="#_x0000_t202" style="position:absolute;left:0;text-align:left;margin-left:.3pt;margin-top:42.3pt;width:250.4pt;height:132.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" fillcolor="window" strokecolor="#82b0e4 [1300]" strokeweight="1pt">
                <v:textbox>
                  <w:txbxContent>
                    <w:p w14:paraId="646AE254" w14:textId="77777777" w:rsidR="0062053E" w:rsidRPr="001A338B" w:rsidRDefault="0062053E" w:rsidP="0062053E">
                      <w:pPr>
                        <w:spacing w:before="0" w:after="0"/>
                        <w:ind w:left="0" w:right="0"/>
                        <w:jc w:val="center"/>
                        <w:rPr>
                          <w:rFonts w:ascii="Georgia" w:eastAsia="Calibri" w:hAnsi="Georgia" w:cs="Times New Roman"/>
                          <w:b/>
                          <w:bCs/>
                          <w:color w:val="auto"/>
                          <w:kern w:val="0"/>
                          <w:szCs w:val="24"/>
                          <w:lang w:eastAsia="en-US"/>
                        </w:rPr>
                      </w:pPr>
                      <w:r w:rsidRPr="001A338B">
                        <w:rPr>
                          <w:rFonts w:ascii="Georgia" w:eastAsia="Calibri" w:hAnsi="Georgia" w:cs="Times New Roman"/>
                          <w:b/>
                          <w:bCs/>
                          <w:color w:val="auto"/>
                          <w:kern w:val="0"/>
                          <w:szCs w:val="24"/>
                          <w:lang w:eastAsia="en-US"/>
                        </w:rPr>
                        <w:t>Table of Content</w:t>
                      </w:r>
                    </w:p>
                    <w:p w14:paraId="5DB57F00" w14:textId="59515E7F" w:rsidR="006C0C8B" w:rsidRDefault="0062053E" w:rsidP="00347FFA">
                      <w:pPr>
                        <w:spacing w:before="0" w:after="0" w:line="360" w:lineRule="auto"/>
                        <w:ind w:left="0" w:right="0"/>
                        <w:rPr>
                          <w:rStyle w:val="Hyperlink"/>
                          <w:rFonts w:ascii="Georgia" w:hAnsi="Georgia"/>
                        </w:rPr>
                      </w:pPr>
                      <w:hyperlink w:anchor="_Purpose:" w:history="1">
                        <w:r w:rsidRPr="0060768A">
                          <w:rPr>
                            <w:rStyle w:val="Hyperlink"/>
                            <w:rFonts w:ascii="Georgia" w:hAnsi="Georgia"/>
                          </w:rPr>
                          <w:t>Purpose</w:t>
                        </w:r>
                      </w:hyperlink>
                      <w:r w:rsidR="006B0543">
                        <w:rPr>
                          <w:rStyle w:val="Hyperlink"/>
                          <w:rFonts w:ascii="Georgia" w:hAnsi="Georgia"/>
                        </w:rPr>
                        <w:t xml:space="preserve"> </w:t>
                      </w:r>
                      <w:r w:rsidR="006B0543" w:rsidRPr="006B0543">
                        <w:rPr>
                          <w:rStyle w:val="Hyperlink"/>
                          <w:rFonts w:ascii="Georgia" w:hAnsi="Georgia"/>
                          <w:u w:val="none"/>
                        </w:rPr>
                        <w:t xml:space="preserve">                               </w:t>
                      </w:r>
                      <w:hyperlink w:anchor="_Required_activities:" w:history="1">
                        <w:r w:rsidR="006C0C8B" w:rsidRPr="006B0543">
                          <w:rPr>
                            <w:rStyle w:val="Hyperlink"/>
                            <w:rFonts w:ascii="Georgia" w:eastAsia="Calibri" w:hAnsi="Georgia" w:cs="Times New Roman"/>
                            <w:kern w:val="0"/>
                            <w:sz w:val="22"/>
                            <w:szCs w:val="22"/>
                            <w:lang w:eastAsia="en-US"/>
                          </w:rPr>
                          <w:t>Required activities</w:t>
                        </w:r>
                      </w:hyperlink>
                    </w:p>
                    <w:p w14:paraId="29BB2884" w14:textId="39C5FC32" w:rsidR="006C0C8B" w:rsidRPr="006C0C8B" w:rsidRDefault="006C0C8B" w:rsidP="00347FFA">
                      <w:pPr>
                        <w:spacing w:before="0" w:after="0" w:line="360" w:lineRule="auto"/>
                        <w:ind w:left="0" w:right="0"/>
                        <w:rPr>
                          <w:rFonts w:ascii="Georgia" w:eastAsia="Calibri" w:hAnsi="Georgia" w:cs="Times New Roman"/>
                          <w:color w:val="auto"/>
                          <w:kern w:val="0"/>
                          <w:sz w:val="22"/>
                          <w:szCs w:val="22"/>
                          <w:u w:val="single"/>
                          <w:lang w:eastAsia="en-US"/>
                        </w:rPr>
                      </w:pPr>
                      <w:hyperlink w:anchor="_Service_Requirements:" w:history="1">
                        <w:r w:rsidRPr="006C0C8B">
                          <w:rPr>
                            <w:rStyle w:val="Hyperlink"/>
                            <w:rFonts w:ascii="Georgia" w:eastAsia="Calibri" w:hAnsi="Georgia" w:cs="Times New Roman"/>
                            <w:kern w:val="0"/>
                            <w:sz w:val="22"/>
                            <w:szCs w:val="22"/>
                            <w:lang w:eastAsia="en-US"/>
                          </w:rPr>
                          <w:t>Service Requirements</w:t>
                        </w:r>
                        <w:r w:rsidRPr="009B1398">
                          <w:rPr>
                            <w:rStyle w:val="Hyperlink"/>
                            <w:u w:val="none"/>
                          </w:rPr>
                          <w:t xml:space="preserve">         </w:t>
                        </w:r>
                      </w:hyperlink>
                      <w:r w:rsidRPr="006C0C8B">
                        <w:t xml:space="preserve"> </w:t>
                      </w:r>
                      <w:hyperlink w:anchor="_Coding:" w:history="1">
                        <w:r w:rsidRPr="00AE6E93">
                          <w:rPr>
                            <w:rStyle w:val="Hyperlink"/>
                            <w:rFonts w:ascii="Georgia" w:eastAsia="Calibri" w:hAnsi="Georgia" w:cs="Times New Roman"/>
                            <w:kern w:val="0"/>
                            <w:sz w:val="22"/>
                            <w:szCs w:val="22"/>
                            <w:lang w:eastAsia="en-US"/>
                          </w:rPr>
                          <w:t xml:space="preserve">Coding </w:t>
                        </w:r>
                      </w:hyperlink>
                    </w:p>
                    <w:p w14:paraId="1C722C0E" w14:textId="128A2892" w:rsidR="0062053E" w:rsidRPr="00D805B3" w:rsidRDefault="0062053E" w:rsidP="00347FFA">
                      <w:pPr>
                        <w:spacing w:before="0" w:after="0" w:line="360" w:lineRule="auto"/>
                        <w:ind w:left="0" w:right="0"/>
                        <w:rPr>
                          <w:rFonts w:ascii="Georgia" w:eastAsia="Calibri" w:hAnsi="Georgia" w:cs="Times New Roman"/>
                          <w:color w:val="auto"/>
                          <w:kern w:val="0"/>
                          <w:sz w:val="22"/>
                          <w:szCs w:val="22"/>
                          <w:lang w:eastAsia="en-US"/>
                        </w:rPr>
                      </w:pPr>
                      <w:hyperlink w:anchor="_Description_&amp;_Definitions:" w:history="1">
                        <w:r w:rsidRPr="0060768A">
                          <w:rPr>
                            <w:rStyle w:val="Hyperlink"/>
                            <w:rFonts w:ascii="Georgia" w:eastAsia="Calibri" w:hAnsi="Georgia" w:cs="Times New Roman"/>
                            <w:kern w:val="0"/>
                            <w:sz w:val="22"/>
                            <w:szCs w:val="22"/>
                            <w:lang w:eastAsia="en-US"/>
                          </w:rPr>
                          <w:t>Description &amp; Definitions</w:t>
                        </w:r>
                        <w:r w:rsidR="006B0543" w:rsidRPr="006B0543">
                          <w:rPr>
                            <w:rStyle w:val="Hyperlink"/>
                            <w:rFonts w:ascii="Georgia" w:eastAsia="Calibri" w:hAnsi="Georgia" w:cs="Times New Roman"/>
                            <w:kern w:val="0"/>
                            <w:sz w:val="22"/>
                            <w:szCs w:val="22"/>
                            <w:u w:val="none"/>
                            <w:lang w:eastAsia="en-US"/>
                          </w:rPr>
                          <w:t xml:space="preserve">    </w:t>
                        </w:r>
                        <w:r w:rsidRPr="006B0543">
                          <w:rPr>
                            <w:rStyle w:val="Hyperlink"/>
                            <w:rFonts w:ascii="Georgia" w:eastAsia="Calibri" w:hAnsi="Georgia" w:cs="Times New Roman"/>
                            <w:kern w:val="0"/>
                            <w:sz w:val="22"/>
                            <w:szCs w:val="22"/>
                            <w:u w:val="none"/>
                            <w:lang w:eastAsia="en-US"/>
                          </w:rPr>
                          <w:t xml:space="preserve"> </w:t>
                        </w:r>
                      </w:hyperlink>
                      <w:hyperlink w:anchor="_Document_History:" w:history="1">
                        <w:r w:rsidR="006B0543" w:rsidRPr="00AE6E93">
                          <w:rPr>
                            <w:rStyle w:val="Hyperlink"/>
                            <w:rFonts w:ascii="Georgia" w:eastAsia="Calibri" w:hAnsi="Georgia" w:cs="Times New Roman"/>
                            <w:kern w:val="0"/>
                            <w:sz w:val="22"/>
                            <w:szCs w:val="22"/>
                            <w:lang w:eastAsia="en-US"/>
                          </w:rPr>
                          <w:t>Document History</w:t>
                        </w:r>
                      </w:hyperlink>
                    </w:p>
                    <w:p w14:paraId="6310DD3D" w14:textId="6E60E0E1" w:rsidR="0062053E" w:rsidRDefault="00B9212D" w:rsidP="00347FFA">
                      <w:pPr>
                        <w:spacing w:before="0" w:after="0" w:line="360" w:lineRule="auto"/>
                        <w:ind w:left="0" w:right="0"/>
                        <w:rPr>
                          <w:rStyle w:val="Hyperlink"/>
                          <w:rFonts w:ascii="Georgia" w:eastAsia="Calibri" w:hAnsi="Georgia" w:cs="Times New Roman"/>
                          <w:kern w:val="0"/>
                          <w:sz w:val="22"/>
                          <w:szCs w:val="22"/>
                          <w:lang w:eastAsia="en-US"/>
                        </w:rPr>
                      </w:pPr>
                      <w:hyperlink w:anchor="_Criteria:" w:history="1">
                        <w:r>
                          <w:rPr>
                            <w:rStyle w:val="Hyperlink"/>
                            <w:rFonts w:ascii="Georgia" w:eastAsia="Calibri" w:hAnsi="Georgia" w:cs="Times New Roman"/>
                            <w:kern w:val="0"/>
                            <w:sz w:val="22"/>
                            <w:szCs w:val="22"/>
                            <w:lang w:eastAsia="en-US"/>
                          </w:rPr>
                          <w:t>C</w:t>
                        </w:r>
                        <w:r w:rsidR="0062053E" w:rsidRPr="00AE6E93">
                          <w:rPr>
                            <w:rStyle w:val="Hyperlink"/>
                            <w:rFonts w:ascii="Georgia" w:eastAsia="Calibri" w:hAnsi="Georgia" w:cs="Times New Roman"/>
                            <w:kern w:val="0"/>
                            <w:sz w:val="22"/>
                            <w:szCs w:val="22"/>
                            <w:lang w:eastAsia="en-US"/>
                          </w:rPr>
                          <w:t>riteria</w:t>
                        </w:r>
                      </w:hyperlink>
                      <w:r w:rsidR="006B0543" w:rsidRPr="006B0543">
                        <w:rPr>
                          <w:rStyle w:val="Hyperlink"/>
                          <w:rFonts w:ascii="Georgia" w:eastAsia="Calibri" w:hAnsi="Georgia" w:cs="Times New Roman"/>
                          <w:kern w:val="0"/>
                          <w:sz w:val="22"/>
                          <w:szCs w:val="22"/>
                          <w:u w:val="none"/>
                          <w:lang w:eastAsia="en-US"/>
                        </w:rPr>
                        <w:t xml:space="preserve">           </w:t>
                      </w:r>
                      <w:r w:rsidR="00200247">
                        <w:rPr>
                          <w:rStyle w:val="Hyperlink"/>
                          <w:rFonts w:ascii="Georgia" w:eastAsia="Calibri" w:hAnsi="Georgia" w:cs="Times New Roman"/>
                          <w:kern w:val="0"/>
                          <w:sz w:val="22"/>
                          <w:szCs w:val="22"/>
                          <w:u w:val="none"/>
                          <w:lang w:eastAsia="en-US"/>
                        </w:rPr>
                        <w:t xml:space="preserve">                  </w:t>
                      </w:r>
                      <w:r w:rsidR="006B0543" w:rsidRPr="006B0543">
                        <w:rPr>
                          <w:rStyle w:val="Hyperlink"/>
                          <w:rFonts w:ascii="Georgia" w:eastAsia="Calibri" w:hAnsi="Georgia" w:cs="Times New Roman"/>
                          <w:kern w:val="0"/>
                          <w:sz w:val="22"/>
                          <w:szCs w:val="22"/>
                          <w:u w:val="none"/>
                          <w:lang w:eastAsia="en-US"/>
                        </w:rPr>
                        <w:t xml:space="preserve">        </w:t>
                      </w:r>
                      <w:hyperlink w:anchor="_References:" w:history="1">
                        <w:r w:rsidR="006B0543" w:rsidRPr="00AE6E93">
                          <w:rPr>
                            <w:rStyle w:val="Hyperlink"/>
                            <w:rFonts w:ascii="Georgia" w:eastAsia="Calibri" w:hAnsi="Georgia" w:cs="Times New Roman"/>
                            <w:kern w:val="0"/>
                            <w:sz w:val="22"/>
                            <w:szCs w:val="22"/>
                            <w:lang w:eastAsia="en-US"/>
                          </w:rPr>
                          <w:t>Refe</w:t>
                        </w:r>
                        <w:bookmarkStart w:id="3" w:name="_Hlt151111067"/>
                        <w:r w:rsidR="006B0543" w:rsidRPr="00AE6E93">
                          <w:rPr>
                            <w:rStyle w:val="Hyperlink"/>
                            <w:rFonts w:ascii="Georgia" w:eastAsia="Calibri" w:hAnsi="Georgia" w:cs="Times New Roman"/>
                            <w:kern w:val="0"/>
                            <w:sz w:val="22"/>
                            <w:szCs w:val="22"/>
                            <w:lang w:eastAsia="en-US"/>
                          </w:rPr>
                          <w:t>r</w:t>
                        </w:r>
                        <w:bookmarkEnd w:id="3"/>
                        <w:r w:rsidR="006B0543" w:rsidRPr="00AE6E93">
                          <w:rPr>
                            <w:rStyle w:val="Hyperlink"/>
                            <w:rFonts w:ascii="Georgia" w:eastAsia="Calibri" w:hAnsi="Georgia" w:cs="Times New Roman"/>
                            <w:kern w:val="0"/>
                            <w:sz w:val="22"/>
                            <w:szCs w:val="22"/>
                            <w:lang w:eastAsia="en-US"/>
                          </w:rPr>
                          <w:t>ences</w:t>
                        </w:r>
                      </w:hyperlink>
                      <w:r w:rsidR="006B0543" w:rsidRPr="00777B22">
                        <w:rPr>
                          <w:rFonts w:ascii="Georgia" w:eastAsia="Calibri" w:hAnsi="Georgia" w:cs="Times New Roman"/>
                          <w:kern w:val="0"/>
                          <w:sz w:val="22"/>
                          <w:szCs w:val="22"/>
                          <w:lang w:eastAsia="en-US"/>
                        </w:rPr>
                        <w:t xml:space="preserve"> </w:t>
                      </w:r>
                    </w:p>
                    <w:p w14:paraId="166AF5BF" w14:textId="53B93551" w:rsidR="006B0543" w:rsidRDefault="006B0543" w:rsidP="00347FFA">
                      <w:pPr>
                        <w:spacing w:before="0" w:after="0" w:line="360" w:lineRule="auto"/>
                        <w:ind w:left="0" w:right="0"/>
                        <w:rPr>
                          <w:rFonts w:ascii="Georgia" w:eastAsia="Calibri" w:hAnsi="Georgia" w:cs="Times New Roman"/>
                          <w:color w:val="auto"/>
                          <w:kern w:val="0"/>
                          <w:sz w:val="22"/>
                          <w:szCs w:val="22"/>
                          <w:u w:val="single"/>
                          <w:lang w:eastAsia="en-US"/>
                        </w:rPr>
                      </w:pPr>
                      <w:hyperlink w:anchor="_Special_Notes:_*" w:history="1">
                        <w:r w:rsidRPr="00AE6E93">
                          <w:rPr>
                            <w:rStyle w:val="Hyperlink"/>
                            <w:rFonts w:ascii="Georgia" w:eastAsia="Calibri" w:hAnsi="Georgia" w:cs="Times New Roman"/>
                            <w:kern w:val="0"/>
                            <w:sz w:val="22"/>
                            <w:szCs w:val="22"/>
                            <w:lang w:eastAsia="en-US"/>
                          </w:rPr>
                          <w:t>Special Notes</w:t>
                        </w:r>
                      </w:hyperlink>
                      <w:r w:rsidR="00200247" w:rsidRPr="00200247">
                        <w:rPr>
                          <w:rStyle w:val="Hyperlink"/>
                          <w:rFonts w:ascii="Georgia" w:eastAsia="Calibri" w:hAnsi="Georgia" w:cs="Times New Roman"/>
                          <w:kern w:val="0"/>
                          <w:sz w:val="22"/>
                          <w:szCs w:val="22"/>
                          <w:u w:val="none"/>
                          <w:lang w:eastAsia="en-US"/>
                        </w:rPr>
                        <w:tab/>
                      </w:r>
                      <w:r w:rsidR="00200247" w:rsidRPr="00200247">
                        <w:rPr>
                          <w:rStyle w:val="Hyperlink"/>
                          <w:rFonts w:ascii="Georgia" w:eastAsia="Calibri" w:hAnsi="Georgia" w:cs="Times New Roman"/>
                          <w:kern w:val="0"/>
                          <w:sz w:val="22"/>
                          <w:szCs w:val="22"/>
                          <w:u w:val="none"/>
                          <w:lang w:eastAsia="en-US"/>
                        </w:rPr>
                        <w:tab/>
                        <w:t xml:space="preserve">          </w:t>
                      </w:r>
                      <w:r w:rsidR="00200247" w:rsidRPr="006B0543">
                        <w:rPr>
                          <w:rStyle w:val="Hyperlink"/>
                          <w:rFonts w:ascii="Georgia" w:eastAsia="Calibri" w:hAnsi="Georgia" w:cs="Times New Roman"/>
                          <w:color w:val="auto"/>
                          <w:kern w:val="0"/>
                          <w:sz w:val="22"/>
                          <w:szCs w:val="22"/>
                          <w:lang w:eastAsia="en-US"/>
                        </w:rPr>
                        <w:t>Keyw</w:t>
                      </w:r>
                      <w:bookmarkStart w:id="4" w:name="_Hlt151110995"/>
                      <w:r w:rsidR="00200247" w:rsidRPr="006B0543">
                        <w:rPr>
                          <w:rStyle w:val="Hyperlink"/>
                          <w:rFonts w:ascii="Georgia" w:eastAsia="Calibri" w:hAnsi="Georgia" w:cs="Times New Roman"/>
                          <w:color w:val="auto"/>
                          <w:kern w:val="0"/>
                          <w:sz w:val="22"/>
                          <w:szCs w:val="22"/>
                          <w:lang w:eastAsia="en-US"/>
                        </w:rPr>
                        <w:t>o</w:t>
                      </w:r>
                      <w:bookmarkEnd w:id="4"/>
                      <w:r w:rsidR="00200247" w:rsidRPr="006B0543">
                        <w:rPr>
                          <w:rStyle w:val="Hyperlink"/>
                          <w:rFonts w:ascii="Georgia" w:eastAsia="Calibri" w:hAnsi="Georgia" w:cs="Times New Roman"/>
                          <w:color w:val="auto"/>
                          <w:kern w:val="0"/>
                          <w:sz w:val="22"/>
                          <w:szCs w:val="22"/>
                          <w:lang w:eastAsia="en-US"/>
                        </w:rPr>
                        <w:t>rds</w:t>
                      </w:r>
                    </w:p>
                    <w:p w14:paraId="11608635" w14:textId="7F169136" w:rsidR="006B0543" w:rsidRDefault="006B0543" w:rsidP="00347FFA">
                      <w:pPr>
                        <w:spacing w:before="0" w:after="0" w:line="360" w:lineRule="auto"/>
                        <w:ind w:left="0" w:right="0"/>
                        <w:rPr>
                          <w:rStyle w:val="Hyperlink"/>
                          <w:rFonts w:ascii="Georgia" w:eastAsia="Calibri" w:hAnsi="Georgia" w:cs="Times New Roman"/>
                          <w:color w:val="auto"/>
                          <w:kern w:val="0"/>
                          <w:sz w:val="22"/>
                          <w:szCs w:val="22"/>
                          <w:lang w:eastAsia="en-US"/>
                        </w:rPr>
                      </w:pPr>
                      <w:hyperlink w:anchor="_Discharge_Guidelines:" w:history="1">
                        <w:r w:rsidRPr="006B0543">
                          <w:rPr>
                            <w:rStyle w:val="Hyperlink"/>
                            <w:rFonts w:ascii="Georgia" w:eastAsia="Calibri" w:hAnsi="Georgia" w:cs="Times New Roman"/>
                            <w:kern w:val="0"/>
                            <w:sz w:val="22"/>
                            <w:szCs w:val="22"/>
                            <w:lang w:eastAsia="en-US"/>
                          </w:rPr>
                          <w:t>Discharge Guideline</w:t>
                        </w:r>
                      </w:hyperlink>
                      <w:r w:rsidRPr="006B0543">
                        <w:rPr>
                          <w:rStyle w:val="Hyperlink"/>
                          <w:rFonts w:ascii="Georgia" w:eastAsia="Calibri" w:hAnsi="Georgia" w:cs="Times New Roman"/>
                          <w:color w:val="auto"/>
                          <w:kern w:val="0"/>
                          <w:sz w:val="22"/>
                          <w:szCs w:val="22"/>
                          <w:u w:val="none"/>
                          <w:lang w:eastAsia="en-US"/>
                        </w:rPr>
                        <w:t xml:space="preserve">              </w:t>
                      </w:r>
                    </w:p>
                    <w:p w14:paraId="596E7FC2" w14:textId="5A9A2C6F" w:rsidR="0062053E" w:rsidRPr="00D805B3" w:rsidRDefault="0062053E" w:rsidP="0062053E">
                      <w:pPr>
                        <w:spacing w:before="0" w:after="0"/>
                        <w:ind w:left="0" w:right="0"/>
                        <w:rPr>
                          <w:rFonts w:ascii="Georgia" w:eastAsia="Calibri" w:hAnsi="Georgia" w:cs="Times New Roman"/>
                          <w:color w:val="auto"/>
                          <w:kern w:val="0"/>
                          <w:sz w:val="22"/>
                          <w:szCs w:val="22"/>
                          <w:lang w:eastAsia="en-US"/>
                        </w:rPr>
                      </w:pPr>
                    </w:p>
                    <w:p w14:paraId="574F8492" w14:textId="57C3E98F" w:rsidR="0062053E" w:rsidRPr="00A30A41" w:rsidRDefault="0062053E" w:rsidP="0062053E">
                      <w:pPr>
                        <w:spacing w:before="0" w:after="0"/>
                        <w:ind w:left="0" w:right="0"/>
                        <w:rPr>
                          <w:rFonts w:ascii="Calibri" w:eastAsia="Calibri" w:hAnsi="Calibri" w:cs="Times New Roman"/>
                          <w:color w:val="auto"/>
                          <w:kern w:val="0"/>
                          <w:szCs w:val="24"/>
                          <w:lang w:eastAsia="en-US"/>
                        </w:rPr>
                      </w:pPr>
                      <w:hyperlink w:anchor="_Keywords:" w:history="1">
                        <w:r w:rsidRPr="00AE6E93">
                          <w:rPr>
                            <w:rStyle w:val="Hyperlink"/>
                            <w:rFonts w:ascii="Georgia" w:eastAsia="Calibri" w:hAnsi="Georgia" w:cs="Times New Roman"/>
                            <w:kern w:val="0"/>
                            <w:sz w:val="22"/>
                            <w:szCs w:val="22"/>
                            <w:lang w:eastAsia="en-US"/>
                          </w:rPr>
                          <w:t xml:space="preserve"> </w:t>
                        </w:r>
                      </w:hyperlink>
                      <w:r w:rsidRPr="00A30A41">
                        <w:rPr>
                          <w:rFonts w:ascii="Calibri" w:eastAsia="Calibri" w:hAnsi="Calibri" w:cs="Times New Roman"/>
                          <w:color w:val="auto"/>
                          <w:kern w:val="0"/>
                          <w:szCs w:val="24"/>
                          <w:lang w:eastAsia="en-US"/>
                        </w:rPr>
                        <w:br/>
                      </w:r>
                    </w:p>
                    <w:p w14:paraId="209DA8D0" w14:textId="77777777" w:rsidR="0062053E" w:rsidRDefault="0062053E" w:rsidP="0062053E"/>
                    <w:p w14:paraId="5B61E9E2" w14:textId="77777777" w:rsidR="0062053E" w:rsidRDefault="0062053E" w:rsidP="0062053E"/>
                  </w:txbxContent>
                </v:textbox>
                <w10:wrap type="square" anchorx="margin"/>
              </v:shape>
            </w:pict>
          </mc:Fallback>
        </mc:AlternateContent>
      </w:r>
      <w:r w:rsidR="009B1398" w:rsidRPr="009B1398">
        <w:t xml:space="preserve"> </w:t>
      </w:r>
      <w:r w:rsidR="009B1398" w:rsidRPr="009B1398">
        <w:rPr>
          <w:rFonts w:ascii="Georgia" w:eastAsia="Calibri" w:hAnsi="Georgia" w:cs="Times New Roman"/>
          <w:b/>
          <w:bCs/>
          <w:noProof/>
          <w:color w:val="auto"/>
          <w:kern w:val="0"/>
          <w:sz w:val="40"/>
          <w:szCs w:val="40"/>
          <w:lang w:eastAsia="en-US"/>
        </w:rPr>
        <w:t>Intensive in-Home Service for Youth</w:t>
      </w:r>
      <w:r w:rsidR="009F1EDD">
        <w:rPr>
          <w:rFonts w:ascii="Georgia" w:eastAsia="Calibri" w:hAnsi="Georgia" w:cs="Times New Roman"/>
          <w:b/>
          <w:bCs/>
          <w:noProof/>
          <w:color w:val="auto"/>
          <w:kern w:val="0"/>
          <w:sz w:val="40"/>
          <w:szCs w:val="40"/>
          <w:lang w:eastAsia="en-US"/>
        </w:rPr>
        <w:t>, BH 18</w:t>
      </w:r>
    </w:p>
    <w:p w14:paraId="3F5308E7" w14:textId="7C64A513" w:rsidR="00347FFA" w:rsidRDefault="00347FFA" w:rsidP="00347FFA">
      <w:pPr>
        <w:tabs>
          <w:tab w:val="left" w:pos="8440"/>
          <w:tab w:val="left" w:pos="10080"/>
        </w:tabs>
      </w:pPr>
      <w:r w:rsidRPr="0062053E">
        <w:rPr>
          <w:noProof/>
        </w:rPr>
        <mc:AlternateContent>
          <mc:Choice Requires="wps">
            <w:drawing>
              <wp:anchor distT="0" distB="0" distL="114300" distR="114300" simplePos="0" relativeHeight="251658243" behindDoc="0" locked="0" layoutInCell="1" allowOverlap="1" wp14:anchorId="3C136656" wp14:editId="5EEA9374">
                <wp:simplePos x="0" y="0"/>
                <wp:positionH relativeFrom="margin">
                  <wp:posOffset>3574111</wp:posOffset>
                </wp:positionH>
                <wp:positionV relativeFrom="paragraph">
                  <wp:posOffset>12866</wp:posOffset>
                </wp:positionV>
                <wp:extent cx="3268980" cy="1693241"/>
                <wp:effectExtent l="0" t="0" r="25400" b="21590"/>
                <wp:wrapSquare wrapText="bothSides"/>
                <wp:docPr id="696657056" name="Text Box 696657056"/>
                <wp:cNvGraphicFramePr/>
                <a:graphic xmlns:a="http://schemas.openxmlformats.org/drawingml/2006/main">
                  <a:graphicData uri="http://schemas.microsoft.com/office/word/2010/wordprocessingShape">
                    <wps:wsp>
                      <wps:cNvSpPr txBox="1"/>
                      <wps:spPr>
                        <a:xfrm>
                          <a:off x="0" y="0"/>
                          <a:ext cx="3268980" cy="1693241"/>
                        </a:xfrm>
                        <a:prstGeom prst="rect">
                          <a:avLst/>
                        </a:prstGeom>
                        <a:solidFill>
                          <a:sysClr val="window" lastClr="FFFFFF"/>
                        </a:solidFill>
                        <a:ln w="12700">
                          <a:solidFill>
                            <a:schemeClr val="accent1">
                              <a:lumMod val="40000"/>
                              <a:lumOff val="60000"/>
                            </a:schemeClr>
                          </a:solidFill>
                        </a:ln>
                      </wps:spPr>
                      <wps:txbx>
                        <w:txbxContent>
                          <w:p w14:paraId="5BB7A4F1" w14:textId="75DA6F3C" w:rsidR="0062053E" w:rsidRPr="009D1BAD" w:rsidRDefault="0062053E" w:rsidP="0062053E">
                            <w:pPr>
                              <w:spacing w:after="0"/>
                              <w:ind w:left="0"/>
                              <w:rPr>
                                <w:rFonts w:ascii="Georgia" w:hAnsi="Georgia" w:cs="Calibri"/>
                                <w:color w:val="auto"/>
                                <w:sz w:val="22"/>
                                <w:szCs w:val="18"/>
                              </w:rPr>
                            </w:pPr>
                            <w:r w:rsidRPr="009D1BAD">
                              <w:rPr>
                                <w:rFonts w:ascii="Georgia" w:hAnsi="Georgia" w:cs="Calibri"/>
                                <w:color w:val="auto"/>
                                <w:sz w:val="22"/>
                                <w:szCs w:val="18"/>
                                <w:u w:val="single"/>
                              </w:rPr>
                              <w:t>Effective Date</w:t>
                            </w:r>
                            <w:r w:rsidRPr="009D1BAD">
                              <w:rPr>
                                <w:rFonts w:ascii="Georgia" w:hAnsi="Georgia" w:cs="Calibri"/>
                                <w:color w:val="auto"/>
                                <w:sz w:val="22"/>
                                <w:szCs w:val="18"/>
                              </w:rPr>
                              <w:tab/>
                            </w:r>
                            <w:r>
                              <w:rPr>
                                <w:rFonts w:ascii="Georgia" w:hAnsi="Georgia" w:cs="Calibri"/>
                                <w:color w:val="auto"/>
                                <w:sz w:val="22"/>
                                <w:szCs w:val="18"/>
                              </w:rPr>
                              <w:tab/>
                            </w:r>
                            <w:r w:rsidR="00200247">
                              <w:rPr>
                                <w:rFonts w:ascii="Georgia" w:hAnsi="Georgia" w:cs="Calibri"/>
                                <w:color w:val="auto"/>
                                <w:sz w:val="22"/>
                                <w:szCs w:val="18"/>
                              </w:rPr>
                              <w:t>1/2018</w:t>
                            </w:r>
                          </w:p>
                          <w:p w14:paraId="2F3FA923" w14:textId="77777777" w:rsidR="0062053E" w:rsidRPr="009D1BAD" w:rsidRDefault="0062053E" w:rsidP="00347FFA">
                            <w:pPr>
                              <w:spacing w:before="120" w:after="0"/>
                              <w:ind w:left="0"/>
                              <w:rPr>
                                <w:rFonts w:ascii="Georgia" w:hAnsi="Georgia" w:cs="Calibri"/>
                                <w:color w:val="auto"/>
                                <w:sz w:val="22"/>
                                <w:szCs w:val="18"/>
                              </w:rPr>
                            </w:pPr>
                          </w:p>
                          <w:p w14:paraId="384879A9" w14:textId="44AB45BB" w:rsidR="0062053E" w:rsidRPr="009D1BAD" w:rsidRDefault="0062053E" w:rsidP="0062053E">
                            <w:pPr>
                              <w:spacing w:after="0"/>
                              <w:ind w:left="0"/>
                              <w:rPr>
                                <w:rFonts w:ascii="Georgia" w:hAnsi="Georgia" w:cs="Calibri"/>
                                <w:color w:val="auto"/>
                                <w:sz w:val="22"/>
                                <w:szCs w:val="18"/>
                              </w:rPr>
                            </w:pPr>
                            <w:r w:rsidRPr="009D1BAD">
                              <w:rPr>
                                <w:rFonts w:ascii="Georgia" w:hAnsi="Georgia" w:cs="Calibri"/>
                                <w:color w:val="auto"/>
                                <w:sz w:val="22"/>
                                <w:szCs w:val="18"/>
                                <w:u w:val="single"/>
                              </w:rPr>
                              <w:t>Next Review Date</w:t>
                            </w:r>
                            <w:r w:rsidRPr="009D1BAD">
                              <w:rPr>
                                <w:rFonts w:ascii="Georgia" w:hAnsi="Georgia" w:cs="Calibri"/>
                                <w:color w:val="auto"/>
                                <w:sz w:val="22"/>
                                <w:szCs w:val="18"/>
                              </w:rPr>
                              <w:tab/>
                            </w:r>
                            <w:r w:rsidR="009F1EDD">
                              <w:rPr>
                                <w:rFonts w:ascii="Georgia" w:hAnsi="Georgia" w:cs="Calibri"/>
                                <w:color w:val="auto"/>
                                <w:sz w:val="22"/>
                                <w:szCs w:val="18"/>
                              </w:rPr>
                              <w:t>5/2025</w:t>
                            </w:r>
                          </w:p>
                          <w:p w14:paraId="4F7008FB" w14:textId="77777777" w:rsidR="0062053E" w:rsidRPr="009D1BAD" w:rsidRDefault="0062053E" w:rsidP="00347FFA">
                            <w:pPr>
                              <w:spacing w:before="120" w:after="0"/>
                              <w:ind w:left="0"/>
                              <w:rPr>
                                <w:rFonts w:ascii="Georgia" w:hAnsi="Georgia" w:cs="Calibri"/>
                                <w:color w:val="auto"/>
                                <w:sz w:val="22"/>
                                <w:szCs w:val="18"/>
                              </w:rPr>
                            </w:pPr>
                          </w:p>
                          <w:p w14:paraId="1815750E" w14:textId="0322A02D" w:rsidR="0062053E" w:rsidRPr="009D1BAD" w:rsidRDefault="0062053E" w:rsidP="0062053E">
                            <w:pPr>
                              <w:spacing w:after="0"/>
                              <w:ind w:left="0"/>
                              <w:rPr>
                                <w:rFonts w:ascii="Georgia" w:hAnsi="Georgia" w:cs="Calibri"/>
                                <w:color w:val="auto"/>
                                <w:sz w:val="22"/>
                                <w:szCs w:val="18"/>
                              </w:rPr>
                            </w:pPr>
                            <w:r w:rsidRPr="009D1BAD">
                              <w:rPr>
                                <w:rFonts w:ascii="Georgia" w:hAnsi="Georgia" w:cs="Calibri"/>
                                <w:color w:val="auto"/>
                                <w:sz w:val="22"/>
                                <w:szCs w:val="18"/>
                                <w:u w:val="single"/>
                              </w:rPr>
                              <w:t>Coverage Policy</w:t>
                            </w:r>
                            <w:r w:rsidRPr="009D1BAD">
                              <w:rPr>
                                <w:rFonts w:ascii="Georgia" w:hAnsi="Georgia" w:cs="Calibri"/>
                                <w:color w:val="auto"/>
                                <w:sz w:val="22"/>
                                <w:szCs w:val="18"/>
                              </w:rPr>
                              <w:tab/>
                            </w:r>
                            <w:r w:rsidR="00511B23">
                              <w:rPr>
                                <w:rFonts w:ascii="Georgia" w:hAnsi="Georgia" w:cs="Calibri"/>
                                <w:color w:val="auto"/>
                                <w:sz w:val="22"/>
                                <w:szCs w:val="18"/>
                              </w:rPr>
                              <w:t xml:space="preserve">BH </w:t>
                            </w:r>
                            <w:r w:rsidR="00200247">
                              <w:rPr>
                                <w:rFonts w:ascii="Georgia" w:hAnsi="Georgia" w:cs="Calibri"/>
                                <w:color w:val="auto"/>
                                <w:sz w:val="22"/>
                                <w:szCs w:val="18"/>
                              </w:rPr>
                              <w:t>18</w:t>
                            </w:r>
                          </w:p>
                          <w:p w14:paraId="0A3854D5" w14:textId="77777777" w:rsidR="0062053E" w:rsidRPr="009D1BAD" w:rsidRDefault="0062053E" w:rsidP="00347FFA">
                            <w:pPr>
                              <w:spacing w:before="120" w:after="0"/>
                              <w:ind w:left="0"/>
                              <w:rPr>
                                <w:rFonts w:ascii="Georgia" w:hAnsi="Georgia" w:cs="Calibri"/>
                                <w:color w:val="auto"/>
                                <w:sz w:val="22"/>
                                <w:szCs w:val="18"/>
                              </w:rPr>
                            </w:pPr>
                          </w:p>
                          <w:p w14:paraId="2E1B3271" w14:textId="56C4039B" w:rsidR="0062053E" w:rsidRPr="009D1BAD" w:rsidRDefault="0062053E" w:rsidP="0062053E">
                            <w:pPr>
                              <w:spacing w:after="0"/>
                              <w:ind w:left="0" w:right="66"/>
                              <w:rPr>
                                <w:rFonts w:ascii="Georgia" w:hAnsi="Georgia" w:cs="Calibri"/>
                                <w:color w:val="auto"/>
                                <w:sz w:val="22"/>
                                <w:szCs w:val="18"/>
                              </w:rPr>
                            </w:pPr>
                            <w:r w:rsidRPr="009D1BAD">
                              <w:rPr>
                                <w:rFonts w:ascii="Georgia" w:hAnsi="Georgia" w:cs="Calibri"/>
                                <w:color w:val="auto"/>
                                <w:sz w:val="22"/>
                                <w:szCs w:val="18"/>
                                <w:u w:val="single"/>
                              </w:rPr>
                              <w:t>Version</w:t>
                            </w:r>
                            <w:r w:rsidRPr="009D1BAD">
                              <w:rPr>
                                <w:rFonts w:ascii="Georgia" w:hAnsi="Georgia" w:cs="Calibri"/>
                                <w:color w:val="auto"/>
                                <w:sz w:val="22"/>
                                <w:szCs w:val="18"/>
                              </w:rPr>
                              <w:tab/>
                            </w:r>
                            <w:r w:rsidRPr="009D1BAD">
                              <w:rPr>
                                <w:rFonts w:ascii="Georgia" w:hAnsi="Georgia" w:cs="Calibri"/>
                                <w:color w:val="auto"/>
                                <w:sz w:val="22"/>
                                <w:szCs w:val="18"/>
                              </w:rPr>
                              <w:tab/>
                            </w:r>
                            <w:r w:rsidR="009F1EDD">
                              <w:rPr>
                                <w:rFonts w:ascii="Georgia" w:hAnsi="Georgia" w:cs="Calibri"/>
                                <w:color w:val="auto"/>
                                <w:sz w:val="22"/>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36656" id="Text Box 696657056" o:spid="_x0000_s1028" type="#_x0000_t202" style="position:absolute;left:0;text-align:left;margin-left:281.45pt;margin-top:1pt;width:257.4pt;height:13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" fillcolor="window" strokecolor="#82b0e4 [1300]" strokeweight="1pt">
                <v:textbox>
                  <w:txbxContent>
                    <w:p w14:paraId="5BB7A4F1" w14:textId="75DA6F3C" w:rsidR="0062053E" w:rsidRPr="009D1BAD" w:rsidRDefault="0062053E" w:rsidP="0062053E">
                      <w:pPr>
                        <w:spacing w:after="0"/>
                        <w:ind w:left="0"/>
                        <w:rPr>
                          <w:rFonts w:ascii="Georgia" w:hAnsi="Georgia" w:cs="Calibri"/>
                          <w:color w:val="auto"/>
                          <w:sz w:val="22"/>
                          <w:szCs w:val="18"/>
                        </w:rPr>
                      </w:pPr>
                      <w:r w:rsidRPr="009D1BAD">
                        <w:rPr>
                          <w:rFonts w:ascii="Georgia" w:hAnsi="Georgia" w:cs="Calibri"/>
                          <w:color w:val="auto"/>
                          <w:sz w:val="22"/>
                          <w:szCs w:val="18"/>
                          <w:u w:val="single"/>
                        </w:rPr>
                        <w:t>Effective Date</w:t>
                      </w:r>
                      <w:r w:rsidRPr="009D1BAD">
                        <w:rPr>
                          <w:rFonts w:ascii="Georgia" w:hAnsi="Georgia" w:cs="Calibri"/>
                          <w:color w:val="auto"/>
                          <w:sz w:val="22"/>
                          <w:szCs w:val="18"/>
                        </w:rPr>
                        <w:tab/>
                      </w:r>
                      <w:r>
                        <w:rPr>
                          <w:rFonts w:ascii="Georgia" w:hAnsi="Georgia" w:cs="Calibri"/>
                          <w:color w:val="auto"/>
                          <w:sz w:val="22"/>
                          <w:szCs w:val="18"/>
                        </w:rPr>
                        <w:tab/>
                      </w:r>
                      <w:r w:rsidR="00200247">
                        <w:rPr>
                          <w:rFonts w:ascii="Georgia" w:hAnsi="Georgia" w:cs="Calibri"/>
                          <w:color w:val="auto"/>
                          <w:sz w:val="22"/>
                          <w:szCs w:val="18"/>
                        </w:rPr>
                        <w:t>1/2018</w:t>
                      </w:r>
                    </w:p>
                    <w:p w14:paraId="2F3FA923" w14:textId="77777777" w:rsidR="0062053E" w:rsidRPr="009D1BAD" w:rsidRDefault="0062053E" w:rsidP="00347FFA">
                      <w:pPr>
                        <w:spacing w:before="120" w:after="0"/>
                        <w:ind w:left="0"/>
                        <w:rPr>
                          <w:rFonts w:ascii="Georgia" w:hAnsi="Georgia" w:cs="Calibri"/>
                          <w:color w:val="auto"/>
                          <w:sz w:val="22"/>
                          <w:szCs w:val="18"/>
                        </w:rPr>
                      </w:pPr>
                    </w:p>
                    <w:p w14:paraId="384879A9" w14:textId="44AB45BB" w:rsidR="0062053E" w:rsidRPr="009D1BAD" w:rsidRDefault="0062053E" w:rsidP="0062053E">
                      <w:pPr>
                        <w:spacing w:after="0"/>
                        <w:ind w:left="0"/>
                        <w:rPr>
                          <w:rFonts w:ascii="Georgia" w:hAnsi="Georgia" w:cs="Calibri"/>
                          <w:color w:val="auto"/>
                          <w:sz w:val="22"/>
                          <w:szCs w:val="18"/>
                        </w:rPr>
                      </w:pPr>
                      <w:r w:rsidRPr="009D1BAD">
                        <w:rPr>
                          <w:rFonts w:ascii="Georgia" w:hAnsi="Georgia" w:cs="Calibri"/>
                          <w:color w:val="auto"/>
                          <w:sz w:val="22"/>
                          <w:szCs w:val="18"/>
                          <w:u w:val="single"/>
                        </w:rPr>
                        <w:t>Next Review Date</w:t>
                      </w:r>
                      <w:r w:rsidRPr="009D1BAD">
                        <w:rPr>
                          <w:rFonts w:ascii="Georgia" w:hAnsi="Georgia" w:cs="Calibri"/>
                          <w:color w:val="auto"/>
                          <w:sz w:val="22"/>
                          <w:szCs w:val="18"/>
                        </w:rPr>
                        <w:tab/>
                      </w:r>
                      <w:r w:rsidR="009F1EDD">
                        <w:rPr>
                          <w:rFonts w:ascii="Georgia" w:hAnsi="Georgia" w:cs="Calibri"/>
                          <w:color w:val="auto"/>
                          <w:sz w:val="22"/>
                          <w:szCs w:val="18"/>
                        </w:rPr>
                        <w:t>5/2025</w:t>
                      </w:r>
                    </w:p>
                    <w:p w14:paraId="4F7008FB" w14:textId="77777777" w:rsidR="0062053E" w:rsidRPr="009D1BAD" w:rsidRDefault="0062053E" w:rsidP="00347FFA">
                      <w:pPr>
                        <w:spacing w:before="120" w:after="0"/>
                        <w:ind w:left="0"/>
                        <w:rPr>
                          <w:rFonts w:ascii="Georgia" w:hAnsi="Georgia" w:cs="Calibri"/>
                          <w:color w:val="auto"/>
                          <w:sz w:val="22"/>
                          <w:szCs w:val="18"/>
                        </w:rPr>
                      </w:pPr>
                    </w:p>
                    <w:p w14:paraId="1815750E" w14:textId="0322A02D" w:rsidR="0062053E" w:rsidRPr="009D1BAD" w:rsidRDefault="0062053E" w:rsidP="0062053E">
                      <w:pPr>
                        <w:spacing w:after="0"/>
                        <w:ind w:left="0"/>
                        <w:rPr>
                          <w:rFonts w:ascii="Georgia" w:hAnsi="Georgia" w:cs="Calibri"/>
                          <w:color w:val="auto"/>
                          <w:sz w:val="22"/>
                          <w:szCs w:val="18"/>
                        </w:rPr>
                      </w:pPr>
                      <w:r w:rsidRPr="009D1BAD">
                        <w:rPr>
                          <w:rFonts w:ascii="Georgia" w:hAnsi="Georgia" w:cs="Calibri"/>
                          <w:color w:val="auto"/>
                          <w:sz w:val="22"/>
                          <w:szCs w:val="18"/>
                          <w:u w:val="single"/>
                        </w:rPr>
                        <w:t>Coverage Policy</w:t>
                      </w:r>
                      <w:r w:rsidRPr="009D1BAD">
                        <w:rPr>
                          <w:rFonts w:ascii="Georgia" w:hAnsi="Georgia" w:cs="Calibri"/>
                          <w:color w:val="auto"/>
                          <w:sz w:val="22"/>
                          <w:szCs w:val="18"/>
                        </w:rPr>
                        <w:tab/>
                      </w:r>
                      <w:r w:rsidR="00511B23">
                        <w:rPr>
                          <w:rFonts w:ascii="Georgia" w:hAnsi="Georgia" w:cs="Calibri"/>
                          <w:color w:val="auto"/>
                          <w:sz w:val="22"/>
                          <w:szCs w:val="18"/>
                        </w:rPr>
                        <w:t xml:space="preserve">BH </w:t>
                      </w:r>
                      <w:r w:rsidR="00200247">
                        <w:rPr>
                          <w:rFonts w:ascii="Georgia" w:hAnsi="Georgia" w:cs="Calibri"/>
                          <w:color w:val="auto"/>
                          <w:sz w:val="22"/>
                          <w:szCs w:val="18"/>
                        </w:rPr>
                        <w:t>18</w:t>
                      </w:r>
                    </w:p>
                    <w:p w14:paraId="0A3854D5" w14:textId="77777777" w:rsidR="0062053E" w:rsidRPr="009D1BAD" w:rsidRDefault="0062053E" w:rsidP="00347FFA">
                      <w:pPr>
                        <w:spacing w:before="120" w:after="0"/>
                        <w:ind w:left="0"/>
                        <w:rPr>
                          <w:rFonts w:ascii="Georgia" w:hAnsi="Georgia" w:cs="Calibri"/>
                          <w:color w:val="auto"/>
                          <w:sz w:val="22"/>
                          <w:szCs w:val="18"/>
                        </w:rPr>
                      </w:pPr>
                    </w:p>
                    <w:p w14:paraId="2E1B3271" w14:textId="56C4039B" w:rsidR="0062053E" w:rsidRPr="009D1BAD" w:rsidRDefault="0062053E" w:rsidP="0062053E">
                      <w:pPr>
                        <w:spacing w:after="0"/>
                        <w:ind w:left="0" w:right="66"/>
                        <w:rPr>
                          <w:rFonts w:ascii="Georgia" w:hAnsi="Georgia" w:cs="Calibri"/>
                          <w:color w:val="auto"/>
                          <w:sz w:val="22"/>
                          <w:szCs w:val="18"/>
                        </w:rPr>
                      </w:pPr>
                      <w:r w:rsidRPr="009D1BAD">
                        <w:rPr>
                          <w:rFonts w:ascii="Georgia" w:hAnsi="Georgia" w:cs="Calibri"/>
                          <w:color w:val="auto"/>
                          <w:sz w:val="22"/>
                          <w:szCs w:val="18"/>
                          <w:u w:val="single"/>
                        </w:rPr>
                        <w:t>Version</w:t>
                      </w:r>
                      <w:r w:rsidRPr="009D1BAD">
                        <w:rPr>
                          <w:rFonts w:ascii="Georgia" w:hAnsi="Georgia" w:cs="Calibri"/>
                          <w:color w:val="auto"/>
                          <w:sz w:val="22"/>
                          <w:szCs w:val="18"/>
                        </w:rPr>
                        <w:tab/>
                      </w:r>
                      <w:r w:rsidRPr="009D1BAD">
                        <w:rPr>
                          <w:rFonts w:ascii="Georgia" w:hAnsi="Georgia" w:cs="Calibri"/>
                          <w:color w:val="auto"/>
                          <w:sz w:val="22"/>
                          <w:szCs w:val="18"/>
                        </w:rPr>
                        <w:tab/>
                      </w:r>
                      <w:r w:rsidR="009F1EDD">
                        <w:rPr>
                          <w:rFonts w:ascii="Georgia" w:hAnsi="Georgia" w:cs="Calibri"/>
                          <w:color w:val="auto"/>
                          <w:sz w:val="22"/>
                          <w:szCs w:val="18"/>
                        </w:rPr>
                        <w:t>9</w:t>
                      </w:r>
                    </w:p>
                  </w:txbxContent>
                </v:textbox>
                <w10:wrap type="square" anchorx="margin"/>
              </v:shape>
            </w:pict>
          </mc:Fallback>
        </mc:AlternateContent>
      </w:r>
    </w:p>
    <w:p w14:paraId="40E12C11" w14:textId="2FE57146" w:rsidR="0062053E" w:rsidRPr="00347FFA" w:rsidRDefault="003174AE" w:rsidP="00347FFA">
      <w:pPr>
        <w:ind w:left="0" w:right="0"/>
        <w:jc w:val="center"/>
      </w:pPr>
      <w:r w:rsidRPr="003174AE">
        <w:rPr>
          <w:rFonts w:ascii="Georgia" w:hAnsi="Georgia"/>
          <w:b/>
          <w:bCs/>
          <w:color w:val="auto"/>
          <w:sz w:val="20"/>
          <w:szCs w:val="16"/>
        </w:rPr>
        <w:t xml:space="preserve">All requests for authorization for the services described by this medical policy will be reviewed per </w:t>
      </w:r>
      <w:r w:rsidR="00ED4592" w:rsidRPr="00ED4592">
        <w:rPr>
          <w:rFonts w:ascii="Georgia" w:hAnsi="Georgia"/>
          <w:b/>
          <w:bCs/>
          <w:color w:val="auto"/>
          <w:sz w:val="20"/>
          <w:szCs w:val="16"/>
        </w:rPr>
        <w:t xml:space="preserve">Early and Periodic Screening, Diagnostic and </w:t>
      </w:r>
      <w:r w:rsidR="00511B23" w:rsidRPr="00ED4592">
        <w:rPr>
          <w:rFonts w:ascii="Georgia" w:hAnsi="Georgia"/>
          <w:b/>
          <w:bCs/>
          <w:color w:val="auto"/>
          <w:sz w:val="20"/>
          <w:szCs w:val="16"/>
        </w:rPr>
        <w:t>Treatment (</w:t>
      </w:r>
      <w:r w:rsidR="00ED4592" w:rsidRPr="00ED4592">
        <w:rPr>
          <w:rFonts w:ascii="Georgia" w:hAnsi="Georgia"/>
          <w:b/>
          <w:bCs/>
          <w:color w:val="auto"/>
          <w:sz w:val="20"/>
          <w:szCs w:val="16"/>
        </w:rPr>
        <w:t>EPSDT)</w:t>
      </w:r>
      <w:r w:rsidR="00ED4592">
        <w:rPr>
          <w:rFonts w:ascii="Georgia" w:hAnsi="Georgia"/>
          <w:b/>
          <w:bCs/>
          <w:color w:val="auto"/>
          <w:sz w:val="20"/>
          <w:szCs w:val="16"/>
        </w:rPr>
        <w:t xml:space="preserve"> </w:t>
      </w:r>
      <w:r w:rsidRPr="003174AE">
        <w:rPr>
          <w:rFonts w:ascii="Georgia" w:hAnsi="Georgia"/>
          <w:b/>
          <w:bCs/>
          <w:color w:val="auto"/>
          <w:sz w:val="20"/>
          <w:szCs w:val="16"/>
        </w:rPr>
        <w:t>guidelines. These services may be authorized under individual consideration for Medicaid members under the age of 21-years if the services are judged to b</w:t>
      </w:r>
      <w:r w:rsidR="00347FFA">
        <w:rPr>
          <w:rFonts w:ascii="Georgia" w:hAnsi="Georgia"/>
          <w:b/>
          <w:bCs/>
          <w:color w:val="auto"/>
          <w:sz w:val="20"/>
          <w:szCs w:val="16"/>
        </w:rPr>
        <w:t>e</w:t>
      </w:r>
      <w:r w:rsidRPr="003174AE">
        <w:rPr>
          <w:rFonts w:ascii="Georgia" w:hAnsi="Georgia"/>
          <w:b/>
          <w:bCs/>
          <w:color w:val="auto"/>
          <w:sz w:val="20"/>
          <w:szCs w:val="16"/>
        </w:rPr>
        <w:t xml:space="preserve"> medically necessary to correct or ameliorate the member’s condition. Department of Medical Assistance Services (DMAS), Supplement B - EPSDT (Early and Periodic Screening, Diagnosis and Treatment) Manual</w:t>
      </w:r>
      <w:r w:rsidR="006B79E0">
        <w:rPr>
          <w:rFonts w:ascii="Georgia" w:hAnsi="Georgia"/>
          <w:b/>
          <w:bCs/>
          <w:color w:val="auto"/>
          <w:sz w:val="20"/>
          <w:szCs w:val="16"/>
        </w:rPr>
        <w:t xml:space="preserve"> </w:t>
      </w:r>
      <w:hyperlink w:anchor="_Special_Notes:_*_1" w:history="1">
        <w:r w:rsidR="006B79E0" w:rsidRPr="006B79E0">
          <w:rPr>
            <w:rStyle w:val="Hyperlink"/>
            <w:rFonts w:ascii="Georgia" w:hAnsi="Georgia"/>
            <w:b/>
            <w:bCs/>
            <w:color w:val="82B0E4"/>
            <w:sz w:val="20"/>
            <w:szCs w:val="16"/>
          </w:rPr>
          <w:t>*</w:t>
        </w:r>
      </w:hyperlink>
      <w:r w:rsidR="0062053E" w:rsidRPr="0062053E">
        <w:rPr>
          <w:rFonts w:ascii="Georgia" w:hAnsi="Georgia"/>
          <w:b/>
          <w:bCs/>
          <w:color w:val="auto"/>
          <w:sz w:val="20"/>
          <w:szCs w:val="16"/>
        </w:rPr>
        <w:t>.</w:t>
      </w:r>
    </w:p>
    <w:bookmarkStart w:id="5" w:name="_Purpose:"/>
    <w:bookmarkEnd w:id="5"/>
    <w:p w14:paraId="427443AA" w14:textId="4A2E0ED1" w:rsidR="00096F79" w:rsidRPr="00777B22" w:rsidRDefault="00777B22" w:rsidP="006B79E0">
      <w:pPr>
        <w:pStyle w:val="Heading2"/>
        <w:shd w:val="clear" w:color="auto" w:fill="82B0E4"/>
        <w:ind w:left="0" w:right="90"/>
        <w:rPr>
          <w:rFonts w:ascii="Georgia" w:hAnsi="Georgia"/>
        </w:rPr>
      </w:pPr>
      <w:r w:rsidRPr="00777B22">
        <w:rPr>
          <w:rFonts w:ascii="Georgia" w:hAnsi="Georgia"/>
          <w:shd w:val="clear" w:color="auto" w:fill="82B0E4" w:themeFill="text2" w:themeFillTint="66"/>
        </w:rPr>
        <w:fldChar w:fldCharType="begin"/>
      </w:r>
      <w:r w:rsidRPr="00777B22">
        <w:rPr>
          <w:rFonts w:ascii="Georgia" w:hAnsi="Georgia"/>
          <w:shd w:val="clear" w:color="auto" w:fill="82B0E4" w:themeFill="text2" w:themeFillTint="66"/>
        </w:rPr>
        <w:instrText>HYPERLINK  \l "_top"</w:instrText>
      </w:r>
      <w:r w:rsidRPr="00777B22">
        <w:rPr>
          <w:rFonts w:ascii="Georgia" w:hAnsi="Georgia"/>
          <w:shd w:val="clear" w:color="auto" w:fill="82B0E4" w:themeFill="text2" w:themeFillTint="66"/>
        </w:rPr>
      </w:r>
      <w:r w:rsidRPr="00777B22">
        <w:rPr>
          <w:rFonts w:ascii="Georgia" w:hAnsi="Georgia"/>
          <w:shd w:val="clear" w:color="auto" w:fill="82B0E4" w:themeFill="text2" w:themeFillTint="66"/>
        </w:rPr>
        <w:fldChar w:fldCharType="separate"/>
      </w:r>
      <w:r w:rsidR="0060768A" w:rsidRPr="00777B22">
        <w:rPr>
          <w:rStyle w:val="Hyperlink"/>
          <w:rFonts w:ascii="Georgia" w:hAnsi="Georgia"/>
          <w:u w:val="none"/>
          <w:shd w:val="clear" w:color="auto" w:fill="82B0E4" w:themeFill="text2" w:themeFillTint="66"/>
        </w:rPr>
        <w:t>Purpose:</w:t>
      </w:r>
      <w:r w:rsidRPr="00777B22">
        <w:rPr>
          <w:rFonts w:ascii="Georgia" w:hAnsi="Georgia"/>
          <w:shd w:val="clear" w:color="auto" w:fill="82B0E4" w:themeFill="text2" w:themeFillTint="66"/>
        </w:rPr>
        <w:fldChar w:fldCharType="end"/>
      </w:r>
      <w:r w:rsidR="00096F79" w:rsidRPr="00777B22">
        <w:rPr>
          <w:rFonts w:ascii="Georgia" w:hAnsi="Georgia"/>
        </w:rPr>
        <w:tab/>
      </w:r>
      <w:r w:rsidR="00096F79" w:rsidRPr="00777B22">
        <w:rPr>
          <w:rFonts w:ascii="Georgia" w:hAnsi="Georgia"/>
        </w:rPr>
        <w:tab/>
      </w:r>
    </w:p>
    <w:p w14:paraId="39959632" w14:textId="2022D7A8" w:rsidR="0062053E" w:rsidRPr="00200247" w:rsidRDefault="0062053E" w:rsidP="00C5079B">
      <w:pPr>
        <w:tabs>
          <w:tab w:val="left" w:pos="10080"/>
        </w:tabs>
        <w:ind w:left="0" w:right="0"/>
        <w:rPr>
          <w:rFonts w:ascii="Arial" w:hAnsi="Arial" w:cs="Arial"/>
          <w:color w:val="auto"/>
          <w:sz w:val="20"/>
        </w:rPr>
      </w:pPr>
      <w:r w:rsidRPr="00200247">
        <w:rPr>
          <w:rFonts w:ascii="Arial" w:hAnsi="Arial" w:cs="Arial"/>
          <w:color w:val="auto"/>
          <w:sz w:val="20"/>
        </w:rPr>
        <w:t xml:space="preserve">This policy addresses </w:t>
      </w:r>
      <w:r w:rsidR="00200247" w:rsidRPr="00200247">
        <w:rPr>
          <w:rFonts w:ascii="Arial" w:hAnsi="Arial" w:cs="Arial"/>
          <w:color w:val="auto"/>
          <w:sz w:val="20"/>
        </w:rPr>
        <w:t xml:space="preserve">Intensive </w:t>
      </w:r>
      <w:proofErr w:type="gramStart"/>
      <w:r w:rsidR="00200247" w:rsidRPr="00200247">
        <w:rPr>
          <w:rFonts w:ascii="Arial" w:hAnsi="Arial" w:cs="Arial"/>
          <w:color w:val="auto"/>
          <w:sz w:val="20"/>
        </w:rPr>
        <w:t>in-Home</w:t>
      </w:r>
      <w:proofErr w:type="gramEnd"/>
      <w:r w:rsidR="00200247" w:rsidRPr="00200247">
        <w:rPr>
          <w:rFonts w:ascii="Arial" w:hAnsi="Arial" w:cs="Arial"/>
          <w:color w:val="auto"/>
          <w:sz w:val="20"/>
        </w:rPr>
        <w:t xml:space="preserve"> Service for Youth</w:t>
      </w:r>
    </w:p>
    <w:bookmarkStart w:id="6" w:name="_Service_Requirements:"/>
    <w:bookmarkEnd w:id="6"/>
    <w:p w14:paraId="010821D6" w14:textId="5C378EAF" w:rsidR="006C0C8B" w:rsidRPr="006B79E0" w:rsidRDefault="006C0C8B" w:rsidP="006C0C8B">
      <w:pPr>
        <w:pStyle w:val="Heading2"/>
        <w:shd w:val="clear" w:color="auto" w:fill="82B0E4" w:themeFill="accent1" w:themeFillTint="66"/>
        <w:ind w:left="0" w:right="90"/>
        <w:rPr>
          <w:rFonts w:ascii="Georgia" w:hAnsi="Georgia"/>
        </w:rPr>
      </w:pPr>
      <w:r w:rsidRPr="006B79E0">
        <w:rPr>
          <w:rFonts w:ascii="Georgia" w:hAnsi="Georgia"/>
        </w:rPr>
        <w:fldChar w:fldCharType="begin"/>
      </w:r>
      <w:r w:rsidRPr="006B79E0">
        <w:rPr>
          <w:rFonts w:ascii="Georgia" w:hAnsi="Georgia"/>
        </w:rPr>
        <w:instrText>HYPERLINK  \l "_top"</w:instrText>
      </w:r>
      <w:r w:rsidRPr="006B79E0">
        <w:rPr>
          <w:rFonts w:ascii="Georgia" w:hAnsi="Georgia"/>
        </w:rPr>
      </w:r>
      <w:r w:rsidRPr="006B79E0">
        <w:rPr>
          <w:rFonts w:ascii="Georgia" w:hAnsi="Georgia"/>
        </w:rPr>
        <w:fldChar w:fldCharType="separate"/>
      </w:r>
      <w:r w:rsidRPr="006B79E0">
        <w:rPr>
          <w:rStyle w:val="Hyperlink"/>
          <w:rFonts w:ascii="Georgia" w:hAnsi="Georgia"/>
          <w:u w:val="none"/>
        </w:rPr>
        <w:t>Service Requirements:</w:t>
      </w:r>
      <w:r w:rsidRPr="006B79E0">
        <w:rPr>
          <w:rFonts w:ascii="Georgia" w:hAnsi="Georgia"/>
        </w:rPr>
        <w:fldChar w:fldCharType="end"/>
      </w:r>
    </w:p>
    <w:p w14:paraId="3FC77889" w14:textId="77777777" w:rsidR="009F1EDD" w:rsidRPr="009F1EDD" w:rsidRDefault="009F1EDD" w:rsidP="009F1EDD">
      <w:pPr>
        <w:ind w:left="0"/>
        <w:rPr>
          <w:rFonts w:ascii="Arial" w:hAnsi="Arial" w:cs="Arial"/>
          <w:bCs/>
          <w:color w:val="auto"/>
          <w:sz w:val="20"/>
        </w:rPr>
      </w:pPr>
      <w:r w:rsidRPr="009F1EDD">
        <w:rPr>
          <w:rFonts w:ascii="Arial" w:hAnsi="Arial" w:cs="Arial"/>
          <w:bCs/>
          <w:color w:val="auto"/>
          <w:sz w:val="20"/>
        </w:rPr>
        <w:t>Mental Health (formerly CMHRS) – Appendix H: Community Mental Health Rehabilitative Services (CMHRS) p. 3 (6.14.2023)</w:t>
      </w:r>
    </w:p>
    <w:p w14:paraId="6267ECDE" w14:textId="77777777" w:rsidR="009F1EDD" w:rsidRPr="009F1EDD" w:rsidRDefault="009F1EDD" w:rsidP="009F1EDD">
      <w:pPr>
        <w:ind w:left="0"/>
        <w:rPr>
          <w:rFonts w:ascii="Arial" w:hAnsi="Arial" w:cs="Arial"/>
          <w:color w:val="auto"/>
          <w:sz w:val="20"/>
        </w:rPr>
      </w:pPr>
      <w:r w:rsidRPr="009F1EDD">
        <w:rPr>
          <w:rFonts w:ascii="Arial" w:hAnsi="Arial" w:cs="Arial"/>
          <w:color w:val="auto"/>
          <w:sz w:val="20"/>
        </w:rPr>
        <w:t>In addition to the “Requirements for All Services” section of Chapter IV, the following required activities apply to IIH:</w:t>
      </w:r>
    </w:p>
    <w:p w14:paraId="47F6FD54"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 xml:space="preserve">Prior to the start of services, a valid Comprehensive Needs Assessment as described earlier in this chapter shall be conducted by the LMHP, LMHP-S, LMHP-R or LMHPRP, documenting the youth’s diagnosis and describing how service needs match the level of care criteria. </w:t>
      </w:r>
    </w:p>
    <w:p w14:paraId="696162F1"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 xml:space="preserve">An ISP shall be developed within 30 calendar days of initiation of services. The ISP shall meet </w:t>
      </w:r>
      <w:proofErr w:type="gramStart"/>
      <w:r w:rsidRPr="009F1EDD">
        <w:rPr>
          <w:rFonts w:ascii="Arial" w:hAnsi="Arial" w:cs="Arial"/>
          <w:color w:val="auto"/>
          <w:sz w:val="20"/>
        </w:rPr>
        <w:t>all of</w:t>
      </w:r>
      <w:proofErr w:type="gramEnd"/>
      <w:r w:rsidRPr="009F1EDD">
        <w:rPr>
          <w:rFonts w:ascii="Arial" w:hAnsi="Arial" w:cs="Arial"/>
          <w:color w:val="auto"/>
          <w:sz w:val="20"/>
        </w:rPr>
        <w:t xml:space="preserve"> the requirements as defined in 12 VAC 30-50-130, 12VAC30-50-226 and the ISP Requirements section of Chapter IV. ISPs shall be required during the entire duration of services and shall be current. Services based upon incomplete, missing, or outdated Comprehensive Needs Assessment or ISPs shall be denied reimbursement</w:t>
      </w:r>
    </w:p>
    <w:p w14:paraId="0755D655" w14:textId="6E3C4F2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 xml:space="preserve">Individual and family counseling is a required component of this service and must be provided by a LMHP, LMHP-R, LMHP-RP or LMHP-S. Counseling may be provided by the IIH provider or an outpatient service by a private provider </w:t>
      </w:r>
      <w:proofErr w:type="gramStart"/>
      <w:r w:rsidRPr="009F1EDD">
        <w:rPr>
          <w:rFonts w:ascii="Arial" w:hAnsi="Arial" w:cs="Arial"/>
          <w:color w:val="auto"/>
          <w:sz w:val="20"/>
        </w:rPr>
        <w:t>as long as</w:t>
      </w:r>
      <w:proofErr w:type="gramEnd"/>
      <w:r w:rsidRPr="009F1EDD">
        <w:rPr>
          <w:rFonts w:ascii="Arial" w:hAnsi="Arial" w:cs="Arial"/>
          <w:color w:val="auto"/>
          <w:sz w:val="20"/>
        </w:rPr>
        <w:t xml:space="preserve"> it is documented in the ISP and coordinated by the IIH provider. If the counseling is provided by a private provider, the private provider would bill as an outpatient psychiatric services separate from the IIH services </w:t>
      </w:r>
    </w:p>
    <w:p w14:paraId="0292DA2D" w14:textId="77777777" w:rsidR="006B79E0" w:rsidRDefault="009F1EDD" w:rsidP="009F1EDD">
      <w:pPr>
        <w:pStyle w:val="ListParagraph"/>
        <w:numPr>
          <w:ilvl w:val="0"/>
          <w:numId w:val="20"/>
        </w:numPr>
        <w:spacing w:before="0" w:after="200" w:line="276" w:lineRule="auto"/>
        <w:ind w:left="360" w:right="0"/>
        <w:rPr>
          <w:rFonts w:ascii="Arial" w:hAnsi="Arial" w:cs="Arial"/>
          <w:color w:val="auto"/>
          <w:sz w:val="20"/>
        </w:rPr>
        <w:sectPr w:rsidR="006B79E0" w:rsidSect="0096055A">
          <w:footerReference w:type="default" r:id="rId13"/>
          <w:pgSz w:w="12240" w:h="15840" w:code="1"/>
          <w:pgMar w:top="270" w:right="720" w:bottom="720" w:left="720" w:header="720" w:footer="720" w:gutter="0"/>
          <w:cols w:space="720"/>
          <w:docGrid w:linePitch="360"/>
        </w:sectPr>
      </w:pPr>
      <w:r w:rsidRPr="009F1EDD">
        <w:rPr>
          <w:rFonts w:ascii="Arial" w:hAnsi="Arial" w:cs="Arial"/>
          <w:color w:val="auto"/>
          <w:sz w:val="20"/>
        </w:rPr>
        <w:t xml:space="preserve">The ISP shall be in effect and demonstrate the required need for a minimum of three hours a week of IIH. It is expected that the pattern of service provision may show more intensive services and more frequent contact with the </w:t>
      </w:r>
    </w:p>
    <w:p w14:paraId="030C2C56"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lastRenderedPageBreak/>
        <w:t xml:space="preserve">youth and family as documented in the ISP. In preparation of discharge, the ISP can be updated to show a reduction in the services to transition the child and family to a lower level of care. The individualized discharge plan shall describe the transition from IIH to a lower level of care </w:t>
      </w:r>
    </w:p>
    <w:p w14:paraId="050D8E3A"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Emergency assistance shall be available to the family, and delivered, as needed, by the IIH service provider 24 hours per day, seven days a week</w:t>
      </w:r>
    </w:p>
    <w:p w14:paraId="7415F646"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All interventions and the settings of the intervention shall be defined in the ISP</w:t>
      </w:r>
    </w:p>
    <w:p w14:paraId="0995DCE6"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Services shall be directed toward the treatment of the eligible youth and delivered primarily in the family's residence with the youth present</w:t>
      </w:r>
    </w:p>
    <w:p w14:paraId="55482976"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As clinically indicated, the services may be rendered in the community if there is documentation, on that date of service, of the necessity of providing services in the community. The documentation shall describe how the alternative community service location supports the identified clinical needs of the youth and describe how it facilitates the implementation of the ISP</w:t>
      </w:r>
    </w:p>
    <w:p w14:paraId="4C6B7FC3"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Training to increase appropriate communication skills (e.g., counseling to assist the youth and his parents or guardians, as appropriate, to understand and practice appropriate problem solving, anger management, and interpersonal interaction, etc.)</w:t>
      </w:r>
    </w:p>
    <w:p w14:paraId="53114B42"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 xml:space="preserve">Services may be provided to facilitate the transition to home from an out-of-home placement when services more intensive than outpatient clinic care are required for the transition to be successful. The youth and responsible parent/guardian shall be available and in agreement to participate in the transition.   </w:t>
      </w:r>
    </w:p>
    <w:p w14:paraId="598100A3"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 xml:space="preserve">At least one parent/legal guardian or responsible adult with whom the youth is living must be willing to participate in the intensive </w:t>
      </w:r>
      <w:proofErr w:type="spellStart"/>
      <w:r w:rsidRPr="009F1EDD">
        <w:rPr>
          <w:rFonts w:ascii="Arial" w:hAnsi="Arial" w:cs="Arial"/>
          <w:color w:val="auto"/>
          <w:sz w:val="20"/>
        </w:rPr>
        <w:t>inhome</w:t>
      </w:r>
      <w:proofErr w:type="spellEnd"/>
      <w:r w:rsidRPr="009F1EDD">
        <w:rPr>
          <w:rFonts w:ascii="Arial" w:hAnsi="Arial" w:cs="Arial"/>
          <w:color w:val="auto"/>
          <w:sz w:val="20"/>
        </w:rPr>
        <w:t xml:space="preserve"> services with the goal of keeping the youth with the family.   </w:t>
      </w:r>
    </w:p>
    <w:p w14:paraId="45024901" w14:textId="77777777" w:rsidR="009F1EDD" w:rsidRPr="009F1EDD" w:rsidRDefault="009F1EDD" w:rsidP="009F1EDD">
      <w:pPr>
        <w:pStyle w:val="ListParagraph"/>
        <w:numPr>
          <w:ilvl w:val="0"/>
          <w:numId w:val="20"/>
        </w:numPr>
        <w:spacing w:before="0" w:after="200" w:line="276" w:lineRule="auto"/>
        <w:ind w:left="360" w:right="0"/>
        <w:rPr>
          <w:rFonts w:ascii="Arial" w:hAnsi="Arial" w:cs="Arial"/>
          <w:color w:val="auto"/>
          <w:sz w:val="20"/>
        </w:rPr>
      </w:pPr>
      <w:r w:rsidRPr="009F1EDD">
        <w:rPr>
          <w:rFonts w:ascii="Arial" w:hAnsi="Arial" w:cs="Arial"/>
          <w:color w:val="auto"/>
          <w:sz w:val="20"/>
        </w:rPr>
        <w:t xml:space="preserve">All services must be provided on a one-to-one basis with one staff person and one Medicaid member </w:t>
      </w:r>
      <w:proofErr w:type="gramStart"/>
      <w:r w:rsidRPr="009F1EDD">
        <w:rPr>
          <w:rFonts w:ascii="Arial" w:hAnsi="Arial" w:cs="Arial"/>
          <w:color w:val="auto"/>
          <w:sz w:val="20"/>
        </w:rPr>
        <w:t>with the exception of</w:t>
      </w:r>
      <w:proofErr w:type="gramEnd"/>
      <w:r w:rsidRPr="009F1EDD">
        <w:rPr>
          <w:rFonts w:ascii="Arial" w:hAnsi="Arial" w:cs="Arial"/>
          <w:color w:val="auto"/>
          <w:sz w:val="20"/>
        </w:rPr>
        <w:t xml:space="preserve"> family counseling and care coordination.</w:t>
      </w:r>
    </w:p>
    <w:p w14:paraId="3AAFDC73" w14:textId="207539FC" w:rsidR="0062053E" w:rsidRPr="00777B22" w:rsidRDefault="0062053E" w:rsidP="00F34761">
      <w:pPr>
        <w:pStyle w:val="Heading2"/>
        <w:shd w:val="clear" w:color="auto" w:fill="82B0E4" w:themeFill="text2" w:themeFillTint="66"/>
        <w:ind w:left="0" w:right="90"/>
        <w:rPr>
          <w:rFonts w:ascii="Georgia" w:hAnsi="Georgia"/>
        </w:rPr>
      </w:pPr>
      <w:hyperlink w:anchor="_top" w:history="1">
        <w:r w:rsidRPr="00777B22">
          <w:rPr>
            <w:rStyle w:val="Hyperlink"/>
            <w:rFonts w:ascii="Georgia" w:hAnsi="Georgia"/>
            <w:u w:val="none"/>
          </w:rPr>
          <w:t>Description &amp; Definitions:</w:t>
        </w:r>
      </w:hyperlink>
    </w:p>
    <w:p w14:paraId="44D1F38B" w14:textId="77777777" w:rsidR="009F1EDD" w:rsidRPr="009F1EDD" w:rsidRDefault="009F1EDD" w:rsidP="009F1EDD">
      <w:pPr>
        <w:ind w:left="0"/>
        <w:rPr>
          <w:rFonts w:ascii="Arial" w:hAnsi="Arial" w:cs="Arial"/>
          <w:color w:val="auto"/>
          <w:sz w:val="20"/>
        </w:rPr>
      </w:pPr>
      <w:bookmarkStart w:id="7" w:name="_Criteria:"/>
      <w:bookmarkEnd w:id="7"/>
      <w:r w:rsidRPr="009F1EDD">
        <w:rPr>
          <w:rFonts w:ascii="Arial" w:hAnsi="Arial" w:cs="Arial"/>
          <w:color w:val="auto"/>
          <w:sz w:val="20"/>
        </w:rPr>
        <w:t>Mental Health Services (formerly CMHRS) - Appendix H: Community Mental Health Rehabilitative Services (CMHRS) p. 3 (6.14.2023)</w:t>
      </w:r>
    </w:p>
    <w:p w14:paraId="4578FDF4" w14:textId="77777777" w:rsidR="009F1EDD" w:rsidRPr="009F1EDD" w:rsidRDefault="009F1EDD" w:rsidP="009F1EDD">
      <w:pPr>
        <w:ind w:left="0"/>
        <w:rPr>
          <w:rFonts w:ascii="Arial" w:hAnsi="Arial" w:cs="Arial"/>
          <w:color w:val="auto"/>
          <w:sz w:val="20"/>
        </w:rPr>
      </w:pPr>
      <w:r w:rsidRPr="009F1EDD">
        <w:rPr>
          <w:rFonts w:ascii="Arial" w:hAnsi="Arial" w:cs="Arial"/>
          <w:color w:val="auto"/>
          <w:sz w:val="20"/>
        </w:rPr>
        <w:t xml:space="preserve">Intensive in-home services (IIH) for youth under age 21 are intensive therapeutic interventions provided in the youth’s residence (or other community settings as medically necessary and documented in the Comprehensive Needs Assessment and ISP), to improve family functioning, and significant functional impairments in major life activities that have occurred due to the youth’s mental, behavioral or emotional illness in order to prevent an out of home placement, stabilize the youth, and gradually transition the youth to less restrictive levels of care and supports.   All IIH services shall be designed to specifically improve family dynamics, provide modeling, and include clinically necessary interventions that increase functional and therapeutic interpersonal relations between family members in the home. IIH services are designed to promote benefits of psychoeducation in the home setting of a youth who is at risk of being moved into an out-of-home placement or who is being transitioned to home from an out-of-home placement due to a documented medical need of the youth.   </w:t>
      </w:r>
    </w:p>
    <w:p w14:paraId="4DB3470B" w14:textId="77777777" w:rsidR="009F1EDD" w:rsidRPr="009F1EDD" w:rsidRDefault="009F1EDD" w:rsidP="009F1EDD">
      <w:pPr>
        <w:ind w:left="0"/>
        <w:rPr>
          <w:rFonts w:ascii="Arial" w:hAnsi="Arial" w:cs="Arial"/>
          <w:color w:val="auto"/>
          <w:sz w:val="20"/>
        </w:rPr>
      </w:pPr>
      <w:bookmarkStart w:id="8" w:name="_Hlk164243717"/>
      <w:r w:rsidRPr="009F1EDD">
        <w:rPr>
          <w:rFonts w:ascii="Arial" w:hAnsi="Arial" w:cs="Arial"/>
          <w:color w:val="auto"/>
          <w:sz w:val="20"/>
        </w:rPr>
        <w:t>Mental Health (formerly CMHRS) – Appendix A: Definitions p. 1 (12.29.23)</w:t>
      </w:r>
    </w:p>
    <w:p w14:paraId="71B93CD2" w14:textId="77777777" w:rsidR="009F1EDD" w:rsidRPr="009F1EDD" w:rsidRDefault="009F1EDD" w:rsidP="009F1EDD">
      <w:pPr>
        <w:ind w:left="0"/>
        <w:rPr>
          <w:rFonts w:ascii="Arial" w:hAnsi="Arial" w:cs="Arial"/>
          <w:color w:val="auto"/>
          <w:sz w:val="20"/>
        </w:rPr>
      </w:pPr>
      <w:bookmarkStart w:id="9" w:name="_Hlk105742580"/>
      <w:bookmarkEnd w:id="8"/>
      <w:r w:rsidRPr="009F1EDD">
        <w:rPr>
          <w:rFonts w:ascii="Arial" w:hAnsi="Arial" w:cs="Arial"/>
          <w:color w:val="auto"/>
          <w:sz w:val="20"/>
        </w:rPr>
        <w:t>"Comprehensive Needs Assessment" means the face-to-face interaction, in which the provider obtains information from the individual, and parent or other family member or members, as appropriate, about the individual’s mental health status. It includes documented history of the severity, intensity, and duration of mental health care problems and issues and shall contain all of the following elements: (i) the presenting issue/reason for referral, (ii) mental health history/hospitalizations, (iii) previous interventions by providers and timeframes and response to treatment, (iv) medical profile, (v) developmental history including history of abuse, if appropriate, (vi) educational/vocational status, (vii) current living situation and family history and relationships, (viii) legal status, (ix) drug and alcohol profile, (x) resources and strengths, (xi) mental status exam and profile, (xii) diagnosis, (xiii) professional summary and clinical formulation, (xiv) recommended care and treatment goals, and (xv) The dated signature of the LMHP, LMHP-supervisee, LMHP-resident, or LMHP-RP.</w:t>
      </w:r>
    </w:p>
    <w:bookmarkEnd w:id="9"/>
    <w:p w14:paraId="6A5F3D99" w14:textId="77777777" w:rsidR="009F1EDD" w:rsidRPr="009F1EDD" w:rsidRDefault="009F1EDD" w:rsidP="009F1EDD">
      <w:pPr>
        <w:ind w:left="0"/>
        <w:rPr>
          <w:rFonts w:ascii="Arial" w:hAnsi="Arial" w:cs="Arial"/>
          <w:color w:val="auto"/>
          <w:sz w:val="20"/>
        </w:rPr>
      </w:pPr>
      <w:r w:rsidRPr="009F1EDD">
        <w:rPr>
          <w:rFonts w:ascii="Arial" w:hAnsi="Arial" w:cs="Arial"/>
          <w:color w:val="auto"/>
          <w:sz w:val="20"/>
        </w:rPr>
        <w:t xml:space="preserve">"At Risk of Hospitalization” means one or more of the following: (i) within the two weeks before the Comprehensive Needs Assessment, the individual shall be screened by an LMHP, LMHP-R, LMHP-S or LMHP-RP for escalating behaviors that have put either the individual or others at immediate risk of physical injury such that comprehensive crisis services, hospitalization or other high intensity interventions are or have been </w:t>
      </w:r>
      <w:r w:rsidRPr="009F1EDD">
        <w:rPr>
          <w:rFonts w:ascii="Arial" w:hAnsi="Arial" w:cs="Arial"/>
          <w:color w:val="auto"/>
          <w:sz w:val="20"/>
        </w:rPr>
        <w:lastRenderedPageBreak/>
        <w:t>warranted; (ii) the parent/guardian is unable to manage the individual's mental, behavioral, or emotional problems in the home and is actively, within the past two to four weeks, seeking an out-of-home placement; (iii) a representative of either a juvenile justice agency, a department of social services (either the state agency or local agency), a community services board/behavioral health authority, the Department of Education, or an LMHP, as defined in 12VAC35-105-20, or LMHP-R, LMHP-S, or LMHP-RP and who is neither an employee of nor consultant to the intensive in-home (IIH) services or therapeutic day treatment (TDT) provider, has recommended an out-of-home placement absent an immediate change of behaviors and when unsuccessful mental health services are evident; (iv) the individual has a history of unsuccessful services (either mobile crisis response, community stabilization, outpatient psychotherapy, outpatient substance use disorder services, or mental health skill building) within the past 30 calendar days; (v) the treatment team or family assessment planning team (FAPT) recommends IIH services or TDT for an individual currently who, within the past thirty calendar days, is either: (a) transitioning out of residential treatment services, either psychiatric residential treatment facility (PRTF) or therapeutic group home TGH), (b) transitioning out of acute psychiatric hospitalization, or (c) transitioning between foster homes, mental health case management, mobile crisis response, community stabilization, outpatient psychotherapy, or outpatient substance abuse services.</w:t>
      </w:r>
    </w:p>
    <w:p w14:paraId="62CAF36B" w14:textId="08597602" w:rsidR="009F1EDD" w:rsidRPr="009F1EDD" w:rsidRDefault="009F1EDD" w:rsidP="009F1EDD">
      <w:pPr>
        <w:ind w:left="0"/>
        <w:rPr>
          <w:rFonts w:ascii="Arial" w:hAnsi="Arial" w:cs="Arial"/>
          <w:color w:val="auto"/>
          <w:sz w:val="20"/>
        </w:rPr>
      </w:pPr>
      <w:r w:rsidRPr="009F1EDD">
        <w:rPr>
          <w:rFonts w:ascii="Arial" w:hAnsi="Arial" w:cs="Arial"/>
          <w:color w:val="auto"/>
          <w:sz w:val="20"/>
        </w:rPr>
        <w:t>“At Risk of Out-of-Home Placement" means placement in one or more of the following: (i) Therapeutic Group Home; (ii) regular foster home if the individual is currently residing with his biological family and, due to his behavior problems, is at risk of being placed in the custody of the local department of social services; (iii) treatment foster care if the individual is currently residing with his biological family or a regular foster care family and, due to the individual's behavioral problems, is at risk of removal to a higher level of care; (iv) PRTF; (v) emergency shelter for the individual only due either to his mental health or behavior or both; (vi) psychiatric hospitalization; or (vii) juvenile justice system or incarceration.</w:t>
      </w:r>
    </w:p>
    <w:p w14:paraId="06C284F2" w14:textId="1EE92BBC" w:rsidR="009F1EDD" w:rsidRPr="009F1EDD" w:rsidRDefault="009F1EDD" w:rsidP="009F1EDD">
      <w:pPr>
        <w:ind w:left="0"/>
        <w:rPr>
          <w:rFonts w:ascii="Arial" w:hAnsi="Arial" w:cs="Arial"/>
          <w:color w:val="auto"/>
          <w:sz w:val="20"/>
        </w:rPr>
      </w:pPr>
      <w:r w:rsidRPr="009F1EDD">
        <w:rPr>
          <w:rFonts w:ascii="Arial" w:hAnsi="Arial" w:cs="Arial"/>
          <w:color w:val="auto"/>
          <w:sz w:val="20"/>
        </w:rPr>
        <w:t>"Failed Services" or "Unsuccessful Services" means, as measured by ongoing behavioral, mental, or physical distress, that the service or services did not treat or resolve the individual's mental health or behavioral issues.</w:t>
      </w:r>
    </w:p>
    <w:p w14:paraId="05ACAF5F" w14:textId="3230822D" w:rsidR="0062053E" w:rsidRPr="00777B22" w:rsidRDefault="00B9212D" w:rsidP="00B9212D">
      <w:pPr>
        <w:pStyle w:val="Heading2"/>
        <w:shd w:val="clear" w:color="auto" w:fill="82B0E4" w:themeFill="text2" w:themeFillTint="66"/>
        <w:tabs>
          <w:tab w:val="left" w:pos="10710"/>
        </w:tabs>
        <w:ind w:left="0" w:right="90"/>
        <w:rPr>
          <w:rFonts w:ascii="Georgia" w:hAnsi="Georgia"/>
        </w:rPr>
      </w:pPr>
      <w:hyperlink w:anchor="_top" w:history="1">
        <w:r>
          <w:rPr>
            <w:rStyle w:val="Hyperlink"/>
            <w:rFonts w:ascii="Georgia" w:hAnsi="Georgia"/>
            <w:u w:val="none"/>
          </w:rPr>
          <w:t>C</w:t>
        </w:r>
        <w:r w:rsidR="0062053E" w:rsidRPr="00777B22">
          <w:rPr>
            <w:rStyle w:val="Hyperlink"/>
            <w:rFonts w:ascii="Georgia" w:hAnsi="Georgia"/>
            <w:u w:val="none"/>
          </w:rPr>
          <w:t>riteria:</w:t>
        </w:r>
      </w:hyperlink>
    </w:p>
    <w:p w14:paraId="0C430BA8" w14:textId="77777777" w:rsidR="009F1EDD" w:rsidRPr="009F1EDD" w:rsidRDefault="009F1EDD" w:rsidP="009F1EDD">
      <w:pPr>
        <w:spacing w:after="0"/>
        <w:ind w:left="0"/>
        <w:rPr>
          <w:rFonts w:ascii="Arial" w:hAnsi="Arial" w:cs="Arial"/>
          <w:color w:val="auto"/>
          <w:sz w:val="20"/>
        </w:rPr>
      </w:pPr>
      <w:bookmarkStart w:id="10" w:name="_Hlk47007654"/>
      <w:bookmarkStart w:id="11" w:name="_Hlk106798460"/>
      <w:r w:rsidRPr="009F1EDD">
        <w:rPr>
          <w:rFonts w:ascii="Arial" w:hAnsi="Arial" w:cs="Arial"/>
          <w:color w:val="auto"/>
          <w:sz w:val="20"/>
        </w:rPr>
        <w:t>Mental Health (formerly CMHRS) – Appendix H: Community Mental Health Rehabilitative Services (CMHRS) p. 5 (6.14.2023)</w:t>
      </w:r>
    </w:p>
    <w:p w14:paraId="0322D240" w14:textId="77777777" w:rsidR="009F1EDD" w:rsidRPr="009F1EDD" w:rsidRDefault="009F1EDD" w:rsidP="009F1EDD">
      <w:pPr>
        <w:spacing w:after="0"/>
        <w:rPr>
          <w:rFonts w:ascii="Arial" w:hAnsi="Arial" w:cs="Arial"/>
          <w:color w:val="auto"/>
          <w:sz w:val="20"/>
        </w:rPr>
      </w:pPr>
    </w:p>
    <w:p w14:paraId="69E89DC8" w14:textId="77777777" w:rsidR="009F1EDD" w:rsidRPr="009F1EDD" w:rsidRDefault="009F1EDD" w:rsidP="009F1EDD">
      <w:pPr>
        <w:spacing w:after="0"/>
        <w:rPr>
          <w:rFonts w:ascii="Arial" w:hAnsi="Arial" w:cs="Arial"/>
          <w:color w:val="auto"/>
          <w:sz w:val="20"/>
        </w:rPr>
      </w:pPr>
      <w:r w:rsidRPr="009F1EDD">
        <w:rPr>
          <w:rFonts w:ascii="Arial" w:hAnsi="Arial" w:cs="Arial"/>
          <w:color w:val="auto"/>
          <w:sz w:val="20"/>
        </w:rPr>
        <w:t>Intensive in-home service is considered medically necessary with</w:t>
      </w:r>
      <w:r w:rsidRPr="009F1EDD">
        <w:rPr>
          <w:rFonts w:ascii="Arial" w:hAnsi="Arial" w:cs="Arial"/>
          <w:b/>
          <w:color w:val="auto"/>
          <w:sz w:val="20"/>
        </w:rPr>
        <w:t xml:space="preserve"> </w:t>
      </w:r>
      <w:proofErr w:type="gramStart"/>
      <w:r w:rsidRPr="009F1EDD">
        <w:rPr>
          <w:rFonts w:ascii="Arial" w:hAnsi="Arial" w:cs="Arial"/>
          <w:b/>
          <w:color w:val="auto"/>
          <w:sz w:val="20"/>
          <w:u w:val="single"/>
        </w:rPr>
        <w:t>ALL</w:t>
      </w:r>
      <w:r w:rsidRPr="009F1EDD">
        <w:rPr>
          <w:rFonts w:ascii="Arial" w:hAnsi="Arial" w:cs="Arial"/>
          <w:b/>
          <w:color w:val="auto"/>
          <w:sz w:val="20"/>
        </w:rPr>
        <w:t xml:space="preserve"> of</w:t>
      </w:r>
      <w:proofErr w:type="gramEnd"/>
      <w:r w:rsidRPr="009F1EDD">
        <w:rPr>
          <w:rFonts w:ascii="Arial" w:hAnsi="Arial" w:cs="Arial"/>
          <w:b/>
          <w:color w:val="auto"/>
          <w:sz w:val="20"/>
        </w:rPr>
        <w:t xml:space="preserve"> the following</w:t>
      </w:r>
      <w:r w:rsidRPr="009F1EDD">
        <w:rPr>
          <w:rFonts w:ascii="Arial" w:hAnsi="Arial" w:cs="Arial"/>
          <w:color w:val="auto"/>
          <w:sz w:val="20"/>
        </w:rPr>
        <w:t>:</w:t>
      </w:r>
    </w:p>
    <w:p w14:paraId="1BF9E99D" w14:textId="77777777" w:rsidR="009F1EDD" w:rsidRPr="009F1EDD" w:rsidRDefault="009F1EDD" w:rsidP="009F1EDD">
      <w:pPr>
        <w:pStyle w:val="ListParagraph"/>
        <w:numPr>
          <w:ilvl w:val="0"/>
          <w:numId w:val="21"/>
        </w:numPr>
        <w:spacing w:before="0" w:after="0"/>
        <w:ind w:right="0"/>
        <w:rPr>
          <w:rFonts w:ascii="Arial" w:hAnsi="Arial" w:cs="Arial"/>
          <w:color w:val="auto"/>
          <w:sz w:val="20"/>
        </w:rPr>
      </w:pPr>
      <w:r w:rsidRPr="009F1EDD">
        <w:rPr>
          <w:rFonts w:ascii="Arial" w:hAnsi="Arial" w:cs="Arial"/>
          <w:color w:val="auto"/>
          <w:sz w:val="20"/>
        </w:rPr>
        <w:t xml:space="preserve">The youth </w:t>
      </w:r>
      <w:proofErr w:type="gramStart"/>
      <w:r w:rsidRPr="009F1EDD">
        <w:rPr>
          <w:rFonts w:ascii="Arial" w:hAnsi="Arial" w:cs="Arial"/>
          <w:color w:val="auto"/>
          <w:sz w:val="20"/>
        </w:rPr>
        <w:t>has</w:t>
      </w:r>
      <w:proofErr w:type="gramEnd"/>
      <w:r w:rsidRPr="009F1EDD">
        <w:rPr>
          <w:rFonts w:ascii="Arial" w:hAnsi="Arial" w:cs="Arial"/>
          <w:color w:val="auto"/>
          <w:sz w:val="20"/>
        </w:rPr>
        <w:t xml:space="preserve"> Sentara Health Plans Medicaid Plan</w:t>
      </w:r>
    </w:p>
    <w:p w14:paraId="5D83FB75" w14:textId="77777777" w:rsidR="009F1EDD" w:rsidRPr="009F1EDD" w:rsidRDefault="009F1EDD" w:rsidP="009F1EDD">
      <w:pPr>
        <w:pStyle w:val="ListParagraph"/>
        <w:numPr>
          <w:ilvl w:val="0"/>
          <w:numId w:val="21"/>
        </w:numPr>
        <w:spacing w:before="0" w:after="0"/>
        <w:ind w:right="0"/>
        <w:rPr>
          <w:rFonts w:ascii="Arial" w:hAnsi="Arial" w:cs="Arial"/>
          <w:color w:val="auto"/>
          <w:sz w:val="20"/>
        </w:rPr>
      </w:pPr>
      <w:r w:rsidRPr="009F1EDD">
        <w:rPr>
          <w:rFonts w:ascii="Arial" w:hAnsi="Arial" w:cs="Arial"/>
          <w:color w:val="auto"/>
          <w:sz w:val="20"/>
        </w:rPr>
        <w:t>The youth is under the age of 21 years old</w:t>
      </w:r>
    </w:p>
    <w:p w14:paraId="2B52A606" w14:textId="6B25A13B" w:rsidR="009F1EDD" w:rsidRPr="009F1EDD" w:rsidRDefault="009F1EDD" w:rsidP="009F1EDD">
      <w:pPr>
        <w:pStyle w:val="ListParagraph"/>
        <w:numPr>
          <w:ilvl w:val="0"/>
          <w:numId w:val="21"/>
        </w:numPr>
        <w:spacing w:before="0" w:after="0"/>
        <w:ind w:right="0"/>
        <w:rPr>
          <w:rFonts w:ascii="Arial" w:hAnsi="Arial" w:cs="Arial"/>
          <w:strike/>
          <w:color w:val="auto"/>
          <w:sz w:val="20"/>
        </w:rPr>
      </w:pPr>
      <w:r w:rsidRPr="009F1EDD">
        <w:rPr>
          <w:rFonts w:ascii="Arial" w:hAnsi="Arial" w:cs="Arial"/>
          <w:color w:val="auto"/>
          <w:sz w:val="20"/>
        </w:rPr>
        <w:t>Youth receiving IIH Services must have the functional capability to understand and benefit from the required activities and counseling of this service. These services are rehabilitative and are intended to improve the youth’s functioning.</w:t>
      </w:r>
    </w:p>
    <w:p w14:paraId="1CB80AF3" w14:textId="77777777" w:rsidR="009F1EDD" w:rsidRPr="009F1EDD" w:rsidRDefault="009F1EDD" w:rsidP="009F1EDD">
      <w:pPr>
        <w:pStyle w:val="ListParagraph"/>
        <w:numPr>
          <w:ilvl w:val="0"/>
          <w:numId w:val="21"/>
        </w:numPr>
        <w:spacing w:before="0" w:after="0"/>
        <w:ind w:right="0"/>
        <w:rPr>
          <w:rFonts w:ascii="Arial" w:hAnsi="Arial" w:cs="Arial"/>
          <w:color w:val="auto"/>
          <w:sz w:val="20"/>
        </w:rPr>
      </w:pPr>
      <w:r w:rsidRPr="009F1EDD">
        <w:rPr>
          <w:rFonts w:ascii="Arial" w:hAnsi="Arial" w:cs="Arial"/>
          <w:color w:val="auto"/>
          <w:sz w:val="20"/>
        </w:rPr>
        <w:t>Prior to the start of services, a valid Comprehensive Needs Assessment, as defined in the definition section, shall be conducted by the LMHP, LMHP-S, LMHP-R, or LMHP-RP, documenting the youth’s diagnosis and describing how service needs can best be met through intervention provided typically but not solely in the youth’s residence. The Comprehensive Needs Assessment describes how the youth’s clinical needs put the youth at risk of out-of-home placement.</w:t>
      </w:r>
    </w:p>
    <w:p w14:paraId="5B88CCCA" w14:textId="77777777" w:rsidR="009F1EDD" w:rsidRPr="009F1EDD" w:rsidRDefault="009F1EDD" w:rsidP="009F1EDD">
      <w:pPr>
        <w:pStyle w:val="ListParagraph"/>
        <w:numPr>
          <w:ilvl w:val="0"/>
          <w:numId w:val="21"/>
        </w:numPr>
        <w:spacing w:before="0" w:after="0"/>
        <w:ind w:right="0"/>
        <w:rPr>
          <w:rFonts w:ascii="Arial" w:hAnsi="Arial" w:cs="Arial"/>
          <w:color w:val="auto"/>
          <w:sz w:val="20"/>
        </w:rPr>
      </w:pPr>
      <w:bookmarkStart w:id="12" w:name="_Hlk47007504"/>
      <w:r w:rsidRPr="009F1EDD">
        <w:rPr>
          <w:rFonts w:ascii="Arial" w:hAnsi="Arial" w:cs="Arial"/>
          <w:color w:val="auto"/>
          <w:sz w:val="20"/>
        </w:rPr>
        <w:t>Youth shall meet </w:t>
      </w:r>
      <w:proofErr w:type="gramStart"/>
      <w:r w:rsidRPr="009F1EDD">
        <w:rPr>
          <w:rFonts w:ascii="Arial" w:hAnsi="Arial" w:cs="Arial"/>
          <w:b/>
          <w:bCs/>
          <w:color w:val="auto"/>
          <w:sz w:val="20"/>
        </w:rPr>
        <w:t>ALL</w:t>
      </w:r>
      <w:r w:rsidRPr="009F1EDD">
        <w:rPr>
          <w:rFonts w:ascii="Arial" w:hAnsi="Arial" w:cs="Arial"/>
          <w:color w:val="auto"/>
          <w:sz w:val="20"/>
        </w:rPr>
        <w:t> of</w:t>
      </w:r>
      <w:proofErr w:type="gramEnd"/>
      <w:r w:rsidRPr="009F1EDD">
        <w:rPr>
          <w:rFonts w:ascii="Arial" w:hAnsi="Arial" w:cs="Arial"/>
          <w:color w:val="auto"/>
          <w:sz w:val="20"/>
        </w:rPr>
        <w:t xml:space="preserve"> the following criteria including Diagnostic, At Risk, Level of Care and Family Involvement to qualify for IIH services.</w:t>
      </w:r>
    </w:p>
    <w:p w14:paraId="2A254A49" w14:textId="77777777" w:rsidR="009F1EDD" w:rsidRPr="009F1EDD" w:rsidRDefault="009F1EDD" w:rsidP="009F1EDD">
      <w:pPr>
        <w:pStyle w:val="ListParagraph"/>
        <w:numPr>
          <w:ilvl w:val="1"/>
          <w:numId w:val="21"/>
        </w:numPr>
        <w:spacing w:before="0" w:after="0"/>
        <w:ind w:right="0"/>
        <w:rPr>
          <w:rFonts w:ascii="Arial" w:hAnsi="Arial" w:cs="Arial"/>
          <w:color w:val="auto"/>
          <w:sz w:val="20"/>
        </w:rPr>
      </w:pPr>
      <w:r w:rsidRPr="009F1EDD">
        <w:rPr>
          <w:rFonts w:ascii="Arial" w:hAnsi="Arial" w:cs="Arial"/>
          <w:color w:val="auto"/>
          <w:sz w:val="20"/>
        </w:rPr>
        <w:t>1. Diagnostic Criteria - Youth qualifying for this service shall demonstrate a clinical necessity for the service arising from mental, behavioral or emotional illness which results in significant functional impairments in major life activities. The diagnosis must be the primary clinical issue addressed by services and must support the mental, behavioral or emotional illness attributed to the recent significant functional impairments in major life activities.</w:t>
      </w:r>
    </w:p>
    <w:p w14:paraId="739F9162" w14:textId="77777777" w:rsidR="009F1EDD" w:rsidRPr="009F1EDD" w:rsidRDefault="009F1EDD" w:rsidP="009F1EDD">
      <w:pPr>
        <w:pStyle w:val="ListParagraph"/>
        <w:numPr>
          <w:ilvl w:val="1"/>
          <w:numId w:val="21"/>
        </w:numPr>
        <w:spacing w:before="0" w:after="0"/>
        <w:ind w:right="0"/>
        <w:rPr>
          <w:rFonts w:ascii="Arial" w:hAnsi="Arial" w:cs="Arial"/>
          <w:color w:val="auto"/>
          <w:sz w:val="20"/>
        </w:rPr>
      </w:pPr>
      <w:r w:rsidRPr="009F1EDD">
        <w:rPr>
          <w:rFonts w:ascii="Arial" w:hAnsi="Arial" w:cs="Arial"/>
          <w:color w:val="auto"/>
          <w:sz w:val="20"/>
        </w:rPr>
        <w:t>2. At Risk Criteria - The impairments experienced by the member are to such a degree that they shall meet at least</w:t>
      </w:r>
      <w:r w:rsidRPr="009F1EDD">
        <w:rPr>
          <w:rFonts w:ascii="Arial" w:hAnsi="Arial" w:cs="Arial"/>
          <w:b/>
          <w:bCs/>
          <w:color w:val="auto"/>
          <w:sz w:val="20"/>
        </w:rPr>
        <w:t xml:space="preserve"> 2 or more of the following</w:t>
      </w:r>
      <w:r w:rsidRPr="009F1EDD">
        <w:rPr>
          <w:rFonts w:ascii="Arial" w:hAnsi="Arial" w:cs="Arial"/>
          <w:color w:val="auto"/>
          <w:sz w:val="20"/>
        </w:rPr>
        <w:t xml:space="preserve"> criteria below, on a continuing or intermittent basis, for being at risk of out of home placement as defined in Appendix A.</w:t>
      </w:r>
    </w:p>
    <w:p w14:paraId="4B9945A7" w14:textId="77777777" w:rsidR="009F1EDD" w:rsidRPr="009F1EDD" w:rsidRDefault="009F1EDD" w:rsidP="009F1EDD">
      <w:pPr>
        <w:pStyle w:val="ListParagraph"/>
        <w:numPr>
          <w:ilvl w:val="2"/>
          <w:numId w:val="21"/>
        </w:numPr>
        <w:spacing w:before="0" w:after="0"/>
        <w:ind w:right="0"/>
        <w:rPr>
          <w:rFonts w:ascii="Arial" w:hAnsi="Arial" w:cs="Arial"/>
          <w:color w:val="auto"/>
          <w:sz w:val="20"/>
        </w:rPr>
      </w:pPr>
      <w:r w:rsidRPr="009F1EDD">
        <w:rPr>
          <w:rFonts w:ascii="Arial" w:hAnsi="Arial" w:cs="Arial"/>
          <w:color w:val="auto"/>
          <w:sz w:val="20"/>
        </w:rPr>
        <w:t>Have difficulty in establishing or maintaining normal interpersonal relationships to such a degree that they are at risk of hospitalization or out-of-home placement as defined in Appendix A of this manual because of conflicts with family or community; and/or</w:t>
      </w:r>
    </w:p>
    <w:p w14:paraId="5211E49E" w14:textId="77777777" w:rsidR="009F1EDD" w:rsidRPr="009F1EDD" w:rsidRDefault="009F1EDD" w:rsidP="009F1EDD">
      <w:pPr>
        <w:pStyle w:val="ListParagraph"/>
        <w:numPr>
          <w:ilvl w:val="2"/>
          <w:numId w:val="21"/>
        </w:numPr>
        <w:spacing w:before="0" w:after="0"/>
        <w:ind w:right="0"/>
        <w:rPr>
          <w:rFonts w:ascii="Arial" w:hAnsi="Arial" w:cs="Arial"/>
          <w:color w:val="auto"/>
          <w:sz w:val="20"/>
        </w:rPr>
      </w:pPr>
      <w:r w:rsidRPr="009F1EDD">
        <w:rPr>
          <w:rFonts w:ascii="Arial" w:hAnsi="Arial" w:cs="Arial"/>
          <w:color w:val="auto"/>
          <w:sz w:val="20"/>
        </w:rPr>
        <w:t>Exhibit such inappropriate behavior that documented, repeated interventions by the mental health, social services, or judicial system are or have been necessary resulting in being at risk for out of home placement; and/or</w:t>
      </w:r>
    </w:p>
    <w:p w14:paraId="137C7025" w14:textId="77777777" w:rsidR="009F1EDD" w:rsidRPr="009F1EDD" w:rsidRDefault="009F1EDD" w:rsidP="009F1EDD">
      <w:pPr>
        <w:pStyle w:val="ListParagraph"/>
        <w:numPr>
          <w:ilvl w:val="2"/>
          <w:numId w:val="21"/>
        </w:numPr>
        <w:spacing w:before="0" w:after="0"/>
        <w:ind w:right="0"/>
        <w:rPr>
          <w:rFonts w:ascii="Arial" w:hAnsi="Arial" w:cs="Arial"/>
          <w:color w:val="auto"/>
          <w:sz w:val="20"/>
        </w:rPr>
      </w:pPr>
      <w:r w:rsidRPr="009F1EDD">
        <w:rPr>
          <w:rFonts w:ascii="Arial" w:hAnsi="Arial" w:cs="Arial"/>
          <w:color w:val="auto"/>
          <w:sz w:val="20"/>
        </w:rPr>
        <w:lastRenderedPageBreak/>
        <w:t>Exhibit difficulty in cognitive ability such that they are unable to recognize personal danger or recognize significantly inappropriate social behavior resulting in being at risk for out of home placement.</w:t>
      </w:r>
    </w:p>
    <w:p w14:paraId="27E700C0" w14:textId="77777777" w:rsidR="009F1EDD" w:rsidRPr="009F1EDD" w:rsidRDefault="009F1EDD" w:rsidP="009F1EDD">
      <w:pPr>
        <w:pStyle w:val="ListParagraph"/>
        <w:numPr>
          <w:ilvl w:val="1"/>
          <w:numId w:val="21"/>
        </w:numPr>
        <w:spacing w:before="0" w:after="0"/>
        <w:ind w:right="0"/>
        <w:rPr>
          <w:rFonts w:ascii="Arial" w:hAnsi="Arial" w:cs="Arial"/>
          <w:color w:val="auto"/>
          <w:sz w:val="20"/>
        </w:rPr>
      </w:pPr>
      <w:r w:rsidRPr="009F1EDD">
        <w:rPr>
          <w:rFonts w:ascii="Arial" w:hAnsi="Arial" w:cs="Arial"/>
          <w:color w:val="auto"/>
          <w:sz w:val="20"/>
        </w:rPr>
        <w:t>3. Level of Care - The impairments experienced by the member are to such a degree that they shall meet </w:t>
      </w:r>
      <w:r w:rsidRPr="009F1EDD">
        <w:rPr>
          <w:rFonts w:ascii="Arial" w:hAnsi="Arial" w:cs="Arial"/>
          <w:b/>
          <w:bCs/>
          <w:color w:val="auto"/>
          <w:sz w:val="20"/>
        </w:rPr>
        <w:t>1 or more</w:t>
      </w:r>
      <w:r w:rsidRPr="009F1EDD">
        <w:rPr>
          <w:rFonts w:ascii="Arial" w:hAnsi="Arial" w:cs="Arial"/>
          <w:color w:val="auto"/>
          <w:sz w:val="20"/>
        </w:rPr>
        <w:t> of the following criteria below</w:t>
      </w:r>
    </w:p>
    <w:p w14:paraId="6414A043" w14:textId="77777777" w:rsidR="009F1EDD" w:rsidRPr="009F1EDD" w:rsidRDefault="009F1EDD" w:rsidP="009F1EDD">
      <w:pPr>
        <w:pStyle w:val="ListParagraph"/>
        <w:numPr>
          <w:ilvl w:val="2"/>
          <w:numId w:val="21"/>
        </w:numPr>
        <w:spacing w:before="0" w:after="0"/>
        <w:ind w:right="0"/>
        <w:rPr>
          <w:rFonts w:ascii="Arial" w:hAnsi="Arial" w:cs="Arial"/>
          <w:color w:val="auto"/>
          <w:sz w:val="20"/>
        </w:rPr>
      </w:pPr>
      <w:r w:rsidRPr="009F1EDD">
        <w:rPr>
          <w:rFonts w:ascii="Arial" w:hAnsi="Arial" w:cs="Arial"/>
          <w:color w:val="auto"/>
          <w:sz w:val="20"/>
        </w:rPr>
        <w:t>When services that are far more intensive than outpatient clinic care are required to stabilize the youth in the family situation, or</w:t>
      </w:r>
    </w:p>
    <w:p w14:paraId="0655145E" w14:textId="77777777" w:rsidR="009F1EDD" w:rsidRPr="009F1EDD" w:rsidRDefault="009F1EDD" w:rsidP="009F1EDD">
      <w:pPr>
        <w:pStyle w:val="ListParagraph"/>
        <w:numPr>
          <w:ilvl w:val="2"/>
          <w:numId w:val="21"/>
        </w:numPr>
        <w:spacing w:before="0" w:after="0"/>
        <w:ind w:right="0"/>
        <w:rPr>
          <w:rFonts w:ascii="Arial" w:hAnsi="Arial" w:cs="Arial"/>
          <w:color w:val="auto"/>
          <w:sz w:val="20"/>
        </w:rPr>
      </w:pPr>
      <w:r w:rsidRPr="009F1EDD">
        <w:rPr>
          <w:rFonts w:ascii="Arial" w:hAnsi="Arial" w:cs="Arial"/>
          <w:color w:val="auto"/>
          <w:sz w:val="20"/>
        </w:rPr>
        <w:t>When the youth’s residence as the setting for services is more likely to be successful than a clinic.</w:t>
      </w:r>
    </w:p>
    <w:p w14:paraId="08FB0E74" w14:textId="77777777" w:rsidR="009F1EDD" w:rsidRPr="009F1EDD" w:rsidRDefault="009F1EDD" w:rsidP="009F1EDD">
      <w:pPr>
        <w:pStyle w:val="ListParagraph"/>
        <w:numPr>
          <w:ilvl w:val="1"/>
          <w:numId w:val="21"/>
        </w:numPr>
        <w:spacing w:before="0" w:after="0"/>
        <w:ind w:right="0"/>
        <w:rPr>
          <w:rFonts w:ascii="Arial" w:hAnsi="Arial" w:cs="Arial"/>
          <w:color w:val="auto"/>
          <w:sz w:val="20"/>
        </w:rPr>
      </w:pPr>
      <w:r w:rsidRPr="009F1EDD">
        <w:rPr>
          <w:rFonts w:ascii="Arial" w:hAnsi="Arial" w:cs="Arial"/>
          <w:color w:val="auto"/>
          <w:sz w:val="20"/>
        </w:rPr>
        <w:t>4. Family Involvement - At least one parent/legal guardian or responsible adult with whom the youth is living shall be willing to participate in the intensive in-home services with the goal of keeping the youth with the family. In the instance of this service, a responsible adult shall be an adult who lives in the same household with the child and is responsible for engaging in counseling and service-related activities to benefit the youth.</w:t>
      </w:r>
    </w:p>
    <w:p w14:paraId="22662360" w14:textId="77777777" w:rsidR="009F1EDD" w:rsidRPr="009F1EDD" w:rsidRDefault="009F1EDD" w:rsidP="009F1EDD">
      <w:pPr>
        <w:pStyle w:val="ListParagraph"/>
        <w:numPr>
          <w:ilvl w:val="0"/>
          <w:numId w:val="21"/>
        </w:numPr>
        <w:spacing w:before="0" w:after="0"/>
        <w:ind w:right="0"/>
        <w:rPr>
          <w:rFonts w:ascii="Arial" w:hAnsi="Arial" w:cs="Arial"/>
          <w:color w:val="auto"/>
          <w:sz w:val="20"/>
        </w:rPr>
      </w:pPr>
      <w:bookmarkStart w:id="13" w:name="_Hlk164243413"/>
      <w:bookmarkEnd w:id="12"/>
      <w:r w:rsidRPr="009F1EDD">
        <w:rPr>
          <w:rFonts w:ascii="Arial" w:hAnsi="Arial" w:cs="Arial"/>
          <w:color w:val="auto"/>
          <w:sz w:val="20"/>
        </w:rPr>
        <w:t xml:space="preserve">Mental Health (formerly CMHRS) – Appendix C: Procedures Regarding Service Authorization of Mental Health Services p. 2 (11/22/2021) </w:t>
      </w:r>
      <w:bookmarkEnd w:id="13"/>
      <w:r w:rsidRPr="009F1EDD">
        <w:rPr>
          <w:rFonts w:ascii="Arial" w:hAnsi="Arial" w:cs="Arial"/>
          <w:color w:val="auto"/>
          <w:sz w:val="20"/>
        </w:rPr>
        <w:t>To obtain service authorization, the provider shall demonstrate that the requested service is medically necessary and appropriate for the individual and that the planned activities and interventions conform with the scope of services identified in the service definition and the individual’s needs and treatment goals identified throughout the individual’s records, including the current treatment plan or ISP with</w:t>
      </w:r>
      <w:r w:rsidRPr="009F1EDD">
        <w:rPr>
          <w:rFonts w:ascii="Arial" w:hAnsi="Arial" w:cs="Arial"/>
          <w:b/>
          <w:bCs/>
          <w:color w:val="auto"/>
          <w:sz w:val="20"/>
        </w:rPr>
        <w:t xml:space="preserve"> 1 or more</w:t>
      </w:r>
      <w:r w:rsidRPr="009F1EDD">
        <w:rPr>
          <w:rFonts w:ascii="Arial" w:hAnsi="Arial" w:cs="Arial"/>
          <w:color w:val="auto"/>
          <w:sz w:val="20"/>
        </w:rPr>
        <w:t xml:space="preserve"> of the following</w:t>
      </w:r>
    </w:p>
    <w:p w14:paraId="4367EC4C" w14:textId="77777777" w:rsidR="009F1EDD" w:rsidRPr="009F1EDD" w:rsidRDefault="009F1EDD" w:rsidP="009F1EDD">
      <w:pPr>
        <w:pStyle w:val="ListParagraph"/>
        <w:numPr>
          <w:ilvl w:val="1"/>
          <w:numId w:val="22"/>
        </w:numPr>
        <w:spacing w:before="0" w:after="200" w:line="276" w:lineRule="auto"/>
        <w:ind w:right="0"/>
        <w:rPr>
          <w:rFonts w:ascii="Arial" w:hAnsi="Arial" w:cs="Arial"/>
          <w:color w:val="auto"/>
          <w:sz w:val="20"/>
        </w:rPr>
      </w:pPr>
      <w:r w:rsidRPr="009F1EDD">
        <w:rPr>
          <w:rFonts w:ascii="Arial" w:hAnsi="Arial" w:cs="Arial"/>
          <w:color w:val="auto"/>
          <w:sz w:val="20"/>
        </w:rPr>
        <w:t xml:space="preserve">Initial service authorization requests with </w:t>
      </w:r>
      <w:proofErr w:type="gramStart"/>
      <w:r w:rsidRPr="009F1EDD">
        <w:rPr>
          <w:rFonts w:ascii="Arial" w:hAnsi="Arial" w:cs="Arial"/>
          <w:color w:val="auto"/>
          <w:sz w:val="20"/>
        </w:rPr>
        <w:t>all of</w:t>
      </w:r>
      <w:proofErr w:type="gramEnd"/>
      <w:r w:rsidRPr="009F1EDD">
        <w:rPr>
          <w:rFonts w:ascii="Arial" w:hAnsi="Arial" w:cs="Arial"/>
          <w:color w:val="auto"/>
          <w:sz w:val="20"/>
        </w:rPr>
        <w:t xml:space="preserve"> the following:</w:t>
      </w:r>
    </w:p>
    <w:p w14:paraId="04E0F1F6" w14:textId="77777777" w:rsidR="009F1EDD" w:rsidRPr="009F1EDD" w:rsidRDefault="009F1EDD" w:rsidP="009F1EDD">
      <w:pPr>
        <w:pStyle w:val="ListParagraph"/>
        <w:numPr>
          <w:ilvl w:val="2"/>
          <w:numId w:val="22"/>
        </w:numPr>
        <w:spacing w:before="0" w:after="200" w:line="276" w:lineRule="auto"/>
        <w:ind w:right="0"/>
        <w:rPr>
          <w:rFonts w:ascii="Arial" w:hAnsi="Arial" w:cs="Arial"/>
          <w:color w:val="auto"/>
          <w:sz w:val="20"/>
        </w:rPr>
      </w:pPr>
      <w:r w:rsidRPr="009F1EDD">
        <w:rPr>
          <w:rFonts w:ascii="Arial" w:hAnsi="Arial" w:cs="Arial"/>
          <w:color w:val="auto"/>
          <w:sz w:val="20"/>
        </w:rPr>
        <w:t xml:space="preserve">Clearly document how the individual’s behaviors, within the last 30 calendar days, demonstrate that each of the medical necessity criteria for the service have been met  </w:t>
      </w:r>
    </w:p>
    <w:p w14:paraId="44AF0F62" w14:textId="77777777" w:rsidR="009F1EDD" w:rsidRPr="009F1EDD" w:rsidRDefault="009F1EDD" w:rsidP="009F1EDD">
      <w:pPr>
        <w:pStyle w:val="ListParagraph"/>
        <w:numPr>
          <w:ilvl w:val="2"/>
          <w:numId w:val="22"/>
        </w:numPr>
        <w:spacing w:before="0" w:after="200" w:line="276" w:lineRule="auto"/>
        <w:ind w:right="0"/>
        <w:rPr>
          <w:rFonts w:ascii="Arial" w:hAnsi="Arial" w:cs="Arial"/>
          <w:color w:val="auto"/>
          <w:sz w:val="20"/>
        </w:rPr>
      </w:pPr>
      <w:r w:rsidRPr="009F1EDD">
        <w:rPr>
          <w:rFonts w:ascii="Arial" w:hAnsi="Arial" w:cs="Arial"/>
          <w:color w:val="auto"/>
          <w:sz w:val="20"/>
        </w:rPr>
        <w:t xml:space="preserve">Clearly document how the individual’s behaviors, within the last 30 calendar days, support the need </w:t>
      </w:r>
      <w:proofErr w:type="gramStart"/>
      <w:r w:rsidRPr="009F1EDD">
        <w:rPr>
          <w:rFonts w:ascii="Arial" w:hAnsi="Arial" w:cs="Arial"/>
          <w:color w:val="auto"/>
          <w:sz w:val="20"/>
        </w:rPr>
        <w:t>for the amount of</w:t>
      </w:r>
      <w:proofErr w:type="gramEnd"/>
      <w:r w:rsidRPr="009F1EDD">
        <w:rPr>
          <w:rFonts w:ascii="Arial" w:hAnsi="Arial" w:cs="Arial"/>
          <w:color w:val="auto"/>
          <w:sz w:val="20"/>
        </w:rPr>
        <w:t xml:space="preserve"> service units and the span of dates requested  </w:t>
      </w:r>
    </w:p>
    <w:p w14:paraId="0AEDF21B" w14:textId="77777777" w:rsidR="009F1EDD" w:rsidRPr="009F1EDD" w:rsidRDefault="009F1EDD" w:rsidP="009F1EDD">
      <w:pPr>
        <w:pStyle w:val="ListParagraph"/>
        <w:numPr>
          <w:ilvl w:val="2"/>
          <w:numId w:val="22"/>
        </w:numPr>
        <w:spacing w:before="0" w:after="200" w:line="276" w:lineRule="auto"/>
        <w:ind w:right="0"/>
        <w:rPr>
          <w:rFonts w:ascii="Arial" w:hAnsi="Arial" w:cs="Arial"/>
          <w:color w:val="auto"/>
          <w:sz w:val="20"/>
        </w:rPr>
      </w:pPr>
      <w:r w:rsidRPr="009F1EDD">
        <w:rPr>
          <w:rFonts w:ascii="Arial" w:hAnsi="Arial" w:cs="Arial"/>
          <w:color w:val="auto"/>
          <w:sz w:val="20"/>
        </w:rPr>
        <w:t>Demonstrate individualized and comprehensive treatment planning and initial conceptualization of goals</w:t>
      </w:r>
    </w:p>
    <w:p w14:paraId="656D9E91" w14:textId="77777777" w:rsidR="009F1EDD" w:rsidRPr="009F1EDD" w:rsidRDefault="009F1EDD" w:rsidP="009F1EDD">
      <w:pPr>
        <w:pStyle w:val="ListParagraph"/>
        <w:numPr>
          <w:ilvl w:val="1"/>
          <w:numId w:val="22"/>
        </w:numPr>
        <w:spacing w:before="0" w:after="200" w:line="276" w:lineRule="auto"/>
        <w:ind w:right="0"/>
        <w:rPr>
          <w:rFonts w:ascii="Arial" w:hAnsi="Arial" w:cs="Arial"/>
          <w:color w:val="auto"/>
          <w:sz w:val="20"/>
        </w:rPr>
      </w:pPr>
      <w:r w:rsidRPr="009F1EDD">
        <w:rPr>
          <w:rFonts w:ascii="Arial" w:hAnsi="Arial" w:cs="Arial"/>
          <w:color w:val="auto"/>
          <w:sz w:val="20"/>
        </w:rPr>
        <w:t xml:space="preserve">Continued authorization requests with </w:t>
      </w:r>
      <w:proofErr w:type="gramStart"/>
      <w:r w:rsidRPr="009F1EDD">
        <w:rPr>
          <w:rFonts w:ascii="Arial" w:hAnsi="Arial" w:cs="Arial"/>
          <w:color w:val="auto"/>
          <w:sz w:val="20"/>
        </w:rPr>
        <w:t>all of</w:t>
      </w:r>
      <w:proofErr w:type="gramEnd"/>
      <w:r w:rsidRPr="009F1EDD">
        <w:rPr>
          <w:rFonts w:ascii="Arial" w:hAnsi="Arial" w:cs="Arial"/>
          <w:color w:val="auto"/>
          <w:sz w:val="20"/>
        </w:rPr>
        <w:t xml:space="preserve"> the following:</w:t>
      </w:r>
    </w:p>
    <w:p w14:paraId="396919B0" w14:textId="77777777" w:rsidR="009F1EDD" w:rsidRPr="009F1EDD" w:rsidRDefault="009F1EDD" w:rsidP="009F1EDD">
      <w:pPr>
        <w:pStyle w:val="ListParagraph"/>
        <w:numPr>
          <w:ilvl w:val="2"/>
          <w:numId w:val="22"/>
        </w:numPr>
        <w:spacing w:before="0" w:after="200" w:line="276" w:lineRule="auto"/>
        <w:ind w:right="0"/>
        <w:rPr>
          <w:rFonts w:ascii="Arial" w:hAnsi="Arial" w:cs="Arial"/>
          <w:color w:val="auto"/>
          <w:sz w:val="20"/>
        </w:rPr>
      </w:pPr>
      <w:r w:rsidRPr="009F1EDD">
        <w:rPr>
          <w:rFonts w:ascii="Arial" w:hAnsi="Arial" w:cs="Arial"/>
          <w:color w:val="auto"/>
          <w:sz w:val="20"/>
        </w:rPr>
        <w:t xml:space="preserve">Clearly document how the individual’s behaviors, within the last 30 calendar days, demonstrate that each of the medical necessity criteria for the service have been met  </w:t>
      </w:r>
    </w:p>
    <w:p w14:paraId="100B35D4" w14:textId="77777777" w:rsidR="009F1EDD" w:rsidRPr="009F1EDD" w:rsidRDefault="009F1EDD" w:rsidP="009F1EDD">
      <w:pPr>
        <w:pStyle w:val="ListParagraph"/>
        <w:numPr>
          <w:ilvl w:val="2"/>
          <w:numId w:val="22"/>
        </w:numPr>
        <w:spacing w:before="0" w:after="200" w:line="276" w:lineRule="auto"/>
        <w:ind w:right="0"/>
        <w:rPr>
          <w:rFonts w:ascii="Arial" w:hAnsi="Arial" w:cs="Arial"/>
          <w:color w:val="auto"/>
          <w:sz w:val="20"/>
        </w:rPr>
      </w:pPr>
      <w:r w:rsidRPr="009F1EDD">
        <w:rPr>
          <w:rFonts w:ascii="Arial" w:hAnsi="Arial" w:cs="Arial"/>
          <w:color w:val="auto"/>
          <w:sz w:val="20"/>
        </w:rPr>
        <w:t xml:space="preserve">Clearly document how the individual’s behaviors, within the last 30 calendar days, support the need </w:t>
      </w:r>
      <w:proofErr w:type="gramStart"/>
      <w:r w:rsidRPr="009F1EDD">
        <w:rPr>
          <w:rFonts w:ascii="Arial" w:hAnsi="Arial" w:cs="Arial"/>
          <w:color w:val="auto"/>
          <w:sz w:val="20"/>
        </w:rPr>
        <w:t>for the amount of</w:t>
      </w:r>
      <w:proofErr w:type="gramEnd"/>
      <w:r w:rsidRPr="009F1EDD">
        <w:rPr>
          <w:rFonts w:ascii="Arial" w:hAnsi="Arial" w:cs="Arial"/>
          <w:color w:val="auto"/>
          <w:sz w:val="20"/>
        </w:rPr>
        <w:t xml:space="preserve"> service units and the span of dates requested  </w:t>
      </w:r>
    </w:p>
    <w:p w14:paraId="191CC508" w14:textId="77777777" w:rsidR="009F1EDD" w:rsidRPr="009F1EDD" w:rsidRDefault="009F1EDD" w:rsidP="009F1EDD">
      <w:pPr>
        <w:pStyle w:val="ListParagraph"/>
        <w:numPr>
          <w:ilvl w:val="2"/>
          <w:numId w:val="22"/>
        </w:numPr>
        <w:spacing w:before="0" w:after="200" w:line="276" w:lineRule="auto"/>
        <w:ind w:right="0"/>
        <w:rPr>
          <w:rFonts w:ascii="Arial" w:hAnsi="Arial" w:cs="Arial"/>
          <w:color w:val="auto"/>
          <w:sz w:val="20"/>
        </w:rPr>
      </w:pPr>
      <w:r w:rsidRPr="009F1EDD">
        <w:rPr>
          <w:rFonts w:ascii="Arial" w:hAnsi="Arial" w:cs="Arial"/>
          <w:color w:val="auto"/>
          <w:sz w:val="20"/>
        </w:rPr>
        <w:t>Demonstrate individualized and comprehensive treatment planning and initial conceptualization of goals</w:t>
      </w:r>
    </w:p>
    <w:p w14:paraId="7FBF9487" w14:textId="77777777" w:rsidR="009F1EDD" w:rsidRPr="009F1EDD" w:rsidRDefault="009F1EDD" w:rsidP="009F1EDD">
      <w:pPr>
        <w:pStyle w:val="ListParagraph"/>
        <w:numPr>
          <w:ilvl w:val="2"/>
          <w:numId w:val="22"/>
        </w:numPr>
        <w:spacing w:before="0" w:after="200" w:line="276" w:lineRule="auto"/>
        <w:ind w:right="0"/>
        <w:rPr>
          <w:rFonts w:ascii="Arial" w:hAnsi="Arial" w:cs="Arial"/>
          <w:color w:val="auto"/>
          <w:sz w:val="20"/>
        </w:rPr>
      </w:pPr>
      <w:r w:rsidRPr="009F1EDD">
        <w:rPr>
          <w:rFonts w:ascii="Arial" w:hAnsi="Arial" w:cs="Arial"/>
          <w:color w:val="auto"/>
          <w:sz w:val="20"/>
        </w:rPr>
        <w:t>Demonstrate individualized and comprehensive treatment planning</w:t>
      </w:r>
    </w:p>
    <w:p w14:paraId="7C7984B7" w14:textId="77777777" w:rsidR="009F1EDD" w:rsidRPr="009F1EDD" w:rsidRDefault="009F1EDD" w:rsidP="009F1EDD">
      <w:pPr>
        <w:pStyle w:val="ListParagraph"/>
        <w:numPr>
          <w:ilvl w:val="2"/>
          <w:numId w:val="22"/>
        </w:numPr>
        <w:spacing w:before="0" w:after="200" w:line="276" w:lineRule="auto"/>
        <w:ind w:right="0"/>
        <w:rPr>
          <w:rFonts w:ascii="Arial" w:hAnsi="Arial" w:cs="Arial"/>
          <w:color w:val="auto"/>
          <w:sz w:val="20"/>
        </w:rPr>
      </w:pPr>
      <w:r w:rsidRPr="009F1EDD">
        <w:rPr>
          <w:rFonts w:ascii="Arial" w:hAnsi="Arial" w:cs="Arial"/>
          <w:color w:val="auto"/>
          <w:sz w:val="20"/>
        </w:rPr>
        <w:t xml:space="preserve">Documentation of the individual’s </w:t>
      </w:r>
      <w:proofErr w:type="gramStart"/>
      <w:r w:rsidRPr="009F1EDD">
        <w:rPr>
          <w:rFonts w:ascii="Arial" w:hAnsi="Arial" w:cs="Arial"/>
          <w:color w:val="auto"/>
          <w:sz w:val="20"/>
        </w:rPr>
        <w:t>current status</w:t>
      </w:r>
      <w:proofErr w:type="gramEnd"/>
      <w:r w:rsidRPr="009F1EDD">
        <w:rPr>
          <w:rFonts w:ascii="Arial" w:hAnsi="Arial" w:cs="Arial"/>
          <w:color w:val="auto"/>
          <w:sz w:val="20"/>
        </w:rPr>
        <w:t xml:space="preserve"> and the individual’s progress, or lack of progress toward goals and objectives in the ISP </w:t>
      </w:r>
    </w:p>
    <w:p w14:paraId="596120C6" w14:textId="660C2F25" w:rsidR="009F1EDD" w:rsidRPr="009F1EDD" w:rsidRDefault="009F1EDD" w:rsidP="009F1EDD">
      <w:pPr>
        <w:pStyle w:val="ListParagraph"/>
        <w:numPr>
          <w:ilvl w:val="2"/>
          <w:numId w:val="22"/>
        </w:numPr>
        <w:spacing w:before="0" w:after="200" w:line="276" w:lineRule="auto"/>
        <w:ind w:right="0"/>
        <w:rPr>
          <w:rFonts w:ascii="Arial" w:hAnsi="Arial" w:cs="Arial"/>
          <w:color w:val="auto"/>
          <w:sz w:val="20"/>
        </w:rPr>
      </w:pPr>
      <w:r w:rsidRPr="009F1EDD">
        <w:rPr>
          <w:rFonts w:ascii="Arial" w:hAnsi="Arial" w:cs="Arial"/>
          <w:color w:val="auto"/>
          <w:sz w:val="20"/>
        </w:rPr>
        <w:t>Documentation of discharge planning</w:t>
      </w:r>
    </w:p>
    <w:p w14:paraId="7E333BA5" w14:textId="594655DC" w:rsidR="009F1EDD" w:rsidRPr="009F1EDD" w:rsidRDefault="009F1EDD" w:rsidP="009F1EDD">
      <w:pPr>
        <w:ind w:left="0"/>
        <w:rPr>
          <w:rFonts w:ascii="Arial" w:hAnsi="Arial" w:cs="Arial"/>
          <w:color w:val="auto"/>
          <w:sz w:val="20"/>
        </w:rPr>
      </w:pPr>
      <w:bookmarkStart w:id="14" w:name="_Coding:"/>
      <w:bookmarkStart w:id="15" w:name="_Admission_Criteria:"/>
      <w:bookmarkEnd w:id="10"/>
      <w:bookmarkEnd w:id="11"/>
      <w:bookmarkEnd w:id="14"/>
      <w:bookmarkEnd w:id="15"/>
      <w:r w:rsidRPr="009F1EDD">
        <w:rPr>
          <w:rFonts w:ascii="Arial" w:hAnsi="Arial" w:cs="Arial"/>
          <w:color w:val="auto"/>
          <w:sz w:val="20"/>
        </w:rPr>
        <w:t xml:space="preserve"> Mental Health (formerly CMHRS) – Appendix H: Community Mental Health Rehabilitative Services (CMHRS) p. 7 (6.14.2023)</w:t>
      </w:r>
    </w:p>
    <w:p w14:paraId="0E84227A" w14:textId="77777777" w:rsidR="009F1EDD" w:rsidRPr="009F1EDD" w:rsidRDefault="009F1EDD" w:rsidP="009F1EDD">
      <w:pPr>
        <w:ind w:left="0"/>
        <w:rPr>
          <w:rFonts w:ascii="Arial" w:hAnsi="Arial" w:cs="Arial"/>
          <w:color w:val="auto"/>
          <w:sz w:val="20"/>
        </w:rPr>
      </w:pPr>
      <w:r w:rsidRPr="009F1EDD">
        <w:rPr>
          <w:rFonts w:ascii="Arial" w:hAnsi="Arial" w:cs="Arial"/>
          <w:color w:val="auto"/>
          <w:sz w:val="20"/>
        </w:rPr>
        <w:t>Services that meet the definition of “Failed Services” will not be eligible for reimbursement approval.</w:t>
      </w:r>
    </w:p>
    <w:p w14:paraId="7E2B6DC5" w14:textId="77777777" w:rsidR="009F1EDD" w:rsidRPr="009F1EDD" w:rsidRDefault="009F1EDD" w:rsidP="009F1EDD">
      <w:pPr>
        <w:ind w:left="0"/>
        <w:rPr>
          <w:rFonts w:ascii="Arial" w:hAnsi="Arial" w:cs="Arial"/>
          <w:color w:val="auto"/>
          <w:sz w:val="20"/>
        </w:rPr>
      </w:pPr>
      <w:r w:rsidRPr="009F1EDD">
        <w:rPr>
          <w:rFonts w:ascii="Arial" w:hAnsi="Arial" w:cs="Arial"/>
          <w:color w:val="auto"/>
          <w:sz w:val="20"/>
        </w:rPr>
        <w:t>IIH may be billed only within 7 days prior to discharge from any residential treatment service or inpatient hospitalization.</w:t>
      </w:r>
    </w:p>
    <w:p w14:paraId="631F1B65" w14:textId="77777777" w:rsidR="009F1EDD" w:rsidRPr="009F1EDD" w:rsidRDefault="009F1EDD" w:rsidP="009F1EDD">
      <w:pPr>
        <w:ind w:left="0"/>
        <w:rPr>
          <w:rFonts w:ascii="Arial" w:hAnsi="Arial" w:cs="Arial"/>
          <w:color w:val="auto"/>
          <w:sz w:val="20"/>
        </w:rPr>
      </w:pPr>
      <w:r w:rsidRPr="009F1EDD">
        <w:rPr>
          <w:rFonts w:ascii="Arial" w:hAnsi="Arial" w:cs="Arial"/>
          <w:color w:val="auto"/>
          <w:sz w:val="20"/>
        </w:rPr>
        <w:t>Recreational activities outside the home, such as trips to the library, restaurants, museums, health clubs and shopping centers, are not considered a part of the scope of services. There must be a clinical rationale documented for any activity provided outside the home. Services may be provided in the community instead of the home if this is supported by the Comprehensive Needs Assessment and the ISP.</w:t>
      </w:r>
    </w:p>
    <w:p w14:paraId="3B6AE335" w14:textId="77777777" w:rsidR="009F1EDD" w:rsidRPr="009F1EDD" w:rsidRDefault="009F1EDD" w:rsidP="009F1EDD">
      <w:pPr>
        <w:ind w:left="0"/>
        <w:rPr>
          <w:rFonts w:ascii="Arial" w:hAnsi="Arial" w:cs="Arial"/>
          <w:color w:val="auto"/>
          <w:sz w:val="20"/>
        </w:rPr>
      </w:pPr>
      <w:r w:rsidRPr="009F1EDD">
        <w:rPr>
          <w:rFonts w:ascii="Arial" w:hAnsi="Arial" w:cs="Arial"/>
          <w:color w:val="auto"/>
          <w:sz w:val="20"/>
        </w:rPr>
        <w:t>The unit of service for IIH service is one hour.</w:t>
      </w:r>
    </w:p>
    <w:p w14:paraId="0E9B4937" w14:textId="77777777" w:rsidR="009F1EDD" w:rsidRPr="009F1EDD" w:rsidRDefault="009F1EDD" w:rsidP="009F1EDD">
      <w:pPr>
        <w:ind w:left="0"/>
        <w:rPr>
          <w:rFonts w:ascii="Arial" w:hAnsi="Arial" w:cs="Arial"/>
          <w:color w:val="auto"/>
          <w:sz w:val="20"/>
        </w:rPr>
      </w:pPr>
      <w:r w:rsidRPr="009F1EDD">
        <w:rPr>
          <w:rFonts w:ascii="Arial" w:hAnsi="Arial" w:cs="Arial"/>
          <w:color w:val="auto"/>
          <w:sz w:val="20"/>
        </w:rPr>
        <w:lastRenderedPageBreak/>
        <w:t xml:space="preserve">IIH may not be authorized or billed concurrently with Multisystemic Therapy (MST), Functional Family Therapy (FFT), Applied Behavior Analysis (ABA), Assertive Community Treatment, Mental Health Intensive Outpatient or Mental Health Partial Hospitalization Program services. IIH may not be billed concurrently with Community Stabilization or Residential Crisis Stabilization Unit services. (They moved this sentence up – it used to follow -&gt; sentence). Short-term service authorization overlaps are allowable as approved by the FFS Contractor or MCO during transitions from one service to another for care coordination and continuity of care. </w:t>
      </w:r>
    </w:p>
    <w:p w14:paraId="0F3AD8BC" w14:textId="7A7AEF96" w:rsidR="006B0543" w:rsidRPr="009F1EDD" w:rsidRDefault="009F1EDD" w:rsidP="009F1EDD">
      <w:pPr>
        <w:ind w:left="0"/>
      </w:pPr>
      <w:r w:rsidRPr="009F1EDD">
        <w:rPr>
          <w:rFonts w:ascii="Arial" w:hAnsi="Arial" w:cs="Arial"/>
          <w:color w:val="auto"/>
          <w:sz w:val="20"/>
        </w:rPr>
        <w:t>There is insufficient scientific evidence to support the medical necessity of intensive in-home</w:t>
      </w:r>
      <w:r w:rsidRPr="009F1EDD">
        <w:rPr>
          <w:rFonts w:ascii="Arial" w:hAnsi="Arial" w:cs="Arial"/>
          <w:color w:val="auto"/>
          <w:sz w:val="20"/>
          <w:u w:val="single"/>
        </w:rPr>
        <w:t xml:space="preserve"> </w:t>
      </w:r>
      <w:r w:rsidRPr="009F1EDD">
        <w:rPr>
          <w:rFonts w:ascii="Arial" w:hAnsi="Arial" w:cs="Arial"/>
          <w:color w:val="auto"/>
          <w:sz w:val="20"/>
        </w:rPr>
        <w:t>services for uses other than those listed in the clinical indications for procedure section.</w:t>
      </w:r>
    </w:p>
    <w:bookmarkStart w:id="16" w:name="_Discharge_Guidelines:"/>
    <w:bookmarkStart w:id="17" w:name="_Hlk153787088"/>
    <w:bookmarkEnd w:id="16"/>
    <w:p w14:paraId="505D751F" w14:textId="112F42D6" w:rsidR="006B0543" w:rsidRPr="00B9212D" w:rsidRDefault="006B0543" w:rsidP="00B9212D">
      <w:pPr>
        <w:pStyle w:val="Heading2"/>
        <w:shd w:val="clear" w:color="auto" w:fill="82B0E4" w:themeFill="accent1" w:themeFillTint="66"/>
        <w:ind w:left="0" w:right="90"/>
      </w:pPr>
      <w:r w:rsidRPr="00B9212D">
        <w:rPr>
          <w:rStyle w:val="Heading2Char"/>
          <w:rFonts w:ascii="Georgia" w:hAnsi="Georgia"/>
          <w:color w:val="auto"/>
        </w:rPr>
        <w:fldChar w:fldCharType="begin"/>
      </w:r>
      <w:r w:rsidRPr="00B9212D">
        <w:rPr>
          <w:rStyle w:val="Heading2Char"/>
          <w:rFonts w:ascii="Georgia" w:hAnsi="Georgia"/>
          <w:color w:val="auto"/>
        </w:rPr>
        <w:instrText>HYPERLINK  \l "_top"</w:instrText>
      </w:r>
      <w:r w:rsidRPr="00B9212D">
        <w:rPr>
          <w:rStyle w:val="Heading2Char"/>
          <w:rFonts w:ascii="Georgia" w:hAnsi="Georgia"/>
          <w:color w:val="auto"/>
        </w:rPr>
      </w:r>
      <w:r w:rsidRPr="00B9212D">
        <w:rPr>
          <w:rStyle w:val="Heading2Char"/>
          <w:rFonts w:ascii="Georgia" w:hAnsi="Georgia"/>
          <w:color w:val="auto"/>
        </w:rPr>
        <w:fldChar w:fldCharType="separate"/>
      </w:r>
      <w:r w:rsidRPr="00B9212D">
        <w:rPr>
          <w:rStyle w:val="Hyperlink"/>
          <w:rFonts w:ascii="Georgia" w:hAnsi="Georgia"/>
          <w:u w:val="none"/>
        </w:rPr>
        <w:t>Discharge Guidelines</w:t>
      </w:r>
      <w:r w:rsidRPr="00B9212D">
        <w:rPr>
          <w:rStyle w:val="Hyperlink"/>
          <w:u w:val="none"/>
        </w:rPr>
        <w:t>:</w:t>
      </w:r>
      <w:r w:rsidRPr="00B9212D">
        <w:rPr>
          <w:rStyle w:val="Heading2Char"/>
          <w:rFonts w:ascii="Georgia" w:hAnsi="Georgia"/>
          <w:color w:val="auto"/>
        </w:rPr>
        <w:fldChar w:fldCharType="end"/>
      </w:r>
    </w:p>
    <w:bookmarkEnd w:id="17"/>
    <w:p w14:paraId="009A73B0" w14:textId="77777777" w:rsidR="009F1EDD" w:rsidRPr="009F1EDD" w:rsidRDefault="009F1EDD" w:rsidP="009F1EDD">
      <w:pPr>
        <w:ind w:left="0"/>
        <w:rPr>
          <w:rFonts w:ascii="Arial" w:hAnsi="Arial" w:cs="Arial"/>
          <w:bCs/>
          <w:color w:val="auto"/>
          <w:sz w:val="20"/>
        </w:rPr>
      </w:pPr>
      <w:r w:rsidRPr="009F1EDD">
        <w:rPr>
          <w:rFonts w:ascii="Arial" w:hAnsi="Arial" w:cs="Arial"/>
          <w:bCs/>
          <w:color w:val="auto"/>
          <w:sz w:val="20"/>
        </w:rPr>
        <w:t>Mental Health (formerly CMHRS) – Appendix H: Community Mental Health Rehabilitative Services (CMHRS) p. 6 (6.14.2023)</w:t>
      </w:r>
    </w:p>
    <w:p w14:paraId="4054E1FB" w14:textId="77777777" w:rsidR="009F1EDD" w:rsidRPr="009F1EDD" w:rsidRDefault="009F1EDD" w:rsidP="009F1EDD">
      <w:pPr>
        <w:ind w:left="0"/>
        <w:rPr>
          <w:rFonts w:ascii="Arial" w:hAnsi="Arial" w:cs="Arial"/>
          <w:bCs/>
          <w:color w:val="auto"/>
          <w:sz w:val="20"/>
        </w:rPr>
      </w:pPr>
      <w:r w:rsidRPr="009F1EDD">
        <w:rPr>
          <w:rFonts w:ascii="Arial" w:hAnsi="Arial" w:cs="Arial"/>
          <w:bCs/>
          <w:color w:val="auto"/>
          <w:sz w:val="20"/>
        </w:rPr>
        <w:t>Medicaid reimbursement is not available when other less intensive services may achieve stabilization.</w:t>
      </w:r>
    </w:p>
    <w:p w14:paraId="136E391F" w14:textId="77777777" w:rsidR="009F1EDD" w:rsidRPr="009F1EDD" w:rsidRDefault="009F1EDD" w:rsidP="009F1EDD">
      <w:pPr>
        <w:ind w:left="0"/>
        <w:rPr>
          <w:rFonts w:ascii="Arial" w:hAnsi="Arial" w:cs="Arial"/>
          <w:bCs/>
          <w:color w:val="auto"/>
          <w:sz w:val="20"/>
        </w:rPr>
      </w:pPr>
      <w:r w:rsidRPr="009F1EDD">
        <w:rPr>
          <w:rFonts w:ascii="Arial" w:hAnsi="Arial" w:cs="Arial"/>
          <w:bCs/>
          <w:color w:val="auto"/>
          <w:sz w:val="20"/>
        </w:rPr>
        <w:t xml:space="preserve">Reimbursement shall not be made for this level of care if </w:t>
      </w:r>
      <w:r w:rsidRPr="009F1EDD">
        <w:rPr>
          <w:rFonts w:ascii="Arial" w:hAnsi="Arial" w:cs="Arial"/>
          <w:b/>
          <w:color w:val="auto"/>
          <w:sz w:val="20"/>
        </w:rPr>
        <w:t>1 or more</w:t>
      </w:r>
      <w:r w:rsidRPr="009F1EDD">
        <w:rPr>
          <w:rFonts w:ascii="Arial" w:hAnsi="Arial" w:cs="Arial"/>
          <w:bCs/>
          <w:color w:val="auto"/>
          <w:sz w:val="20"/>
        </w:rPr>
        <w:t xml:space="preserve"> of the following apply:</w:t>
      </w:r>
    </w:p>
    <w:p w14:paraId="06921E86" w14:textId="77777777" w:rsidR="009F1EDD" w:rsidRPr="009F1EDD" w:rsidRDefault="009F1EDD" w:rsidP="009F1EDD">
      <w:pPr>
        <w:pStyle w:val="ListParagraph"/>
        <w:numPr>
          <w:ilvl w:val="0"/>
          <w:numId w:val="23"/>
        </w:numPr>
        <w:spacing w:before="0" w:after="200" w:line="276" w:lineRule="auto"/>
        <w:ind w:right="0"/>
        <w:rPr>
          <w:rFonts w:ascii="Arial" w:hAnsi="Arial" w:cs="Arial"/>
          <w:bCs/>
          <w:color w:val="auto"/>
          <w:sz w:val="20"/>
        </w:rPr>
      </w:pPr>
      <w:r w:rsidRPr="009F1EDD">
        <w:rPr>
          <w:rFonts w:ascii="Arial" w:hAnsi="Arial" w:cs="Arial"/>
          <w:bCs/>
          <w:color w:val="auto"/>
          <w:sz w:val="20"/>
        </w:rPr>
        <w:t>The youth is no longer at risk of being moved into an out-of-home placement related to behavioral health symptoms</w:t>
      </w:r>
    </w:p>
    <w:p w14:paraId="2EA9C05D" w14:textId="77777777" w:rsidR="009F1EDD" w:rsidRPr="009F1EDD" w:rsidRDefault="009F1EDD" w:rsidP="009F1EDD">
      <w:pPr>
        <w:pStyle w:val="ListParagraph"/>
        <w:numPr>
          <w:ilvl w:val="0"/>
          <w:numId w:val="23"/>
        </w:numPr>
        <w:spacing w:before="0" w:after="200" w:line="276" w:lineRule="auto"/>
        <w:ind w:right="0"/>
        <w:rPr>
          <w:rFonts w:ascii="Arial" w:hAnsi="Arial" w:cs="Arial"/>
          <w:bCs/>
          <w:color w:val="auto"/>
          <w:sz w:val="20"/>
        </w:rPr>
      </w:pPr>
      <w:r w:rsidRPr="009F1EDD">
        <w:rPr>
          <w:rFonts w:ascii="Arial" w:hAnsi="Arial" w:cs="Arial"/>
          <w:bCs/>
          <w:color w:val="auto"/>
          <w:sz w:val="20"/>
        </w:rPr>
        <w:t>The level of functioning has improved with respect to the goals outlined in the ISP and the youth can reasonably be expected to maintain these gains at a lower level of treatment</w:t>
      </w:r>
    </w:p>
    <w:p w14:paraId="414586C7" w14:textId="77777777" w:rsidR="009F1EDD" w:rsidRPr="009F1EDD" w:rsidRDefault="009F1EDD" w:rsidP="009F1EDD">
      <w:pPr>
        <w:pStyle w:val="ListParagraph"/>
        <w:numPr>
          <w:ilvl w:val="0"/>
          <w:numId w:val="23"/>
        </w:numPr>
        <w:spacing w:before="0" w:after="200" w:line="276" w:lineRule="auto"/>
        <w:ind w:right="0"/>
        <w:rPr>
          <w:rFonts w:ascii="Arial" w:hAnsi="Arial" w:cs="Arial"/>
          <w:bCs/>
          <w:color w:val="auto"/>
          <w:sz w:val="20"/>
        </w:rPr>
      </w:pPr>
      <w:r w:rsidRPr="009F1EDD">
        <w:rPr>
          <w:rFonts w:ascii="Arial" w:hAnsi="Arial" w:cs="Arial"/>
          <w:bCs/>
          <w:color w:val="auto"/>
          <w:sz w:val="20"/>
        </w:rPr>
        <w:t>The child is no longer in the home</w:t>
      </w:r>
    </w:p>
    <w:p w14:paraId="235055B7" w14:textId="77777777" w:rsidR="009F1EDD" w:rsidRPr="009F1EDD" w:rsidRDefault="009F1EDD" w:rsidP="009F1EDD">
      <w:pPr>
        <w:pStyle w:val="ListParagraph"/>
        <w:numPr>
          <w:ilvl w:val="0"/>
          <w:numId w:val="23"/>
        </w:numPr>
        <w:spacing w:before="0" w:after="200" w:line="276" w:lineRule="auto"/>
        <w:ind w:right="0"/>
        <w:rPr>
          <w:rFonts w:ascii="Arial" w:hAnsi="Arial" w:cs="Arial"/>
          <w:bCs/>
          <w:color w:val="auto"/>
          <w:sz w:val="20"/>
        </w:rPr>
      </w:pPr>
      <w:r w:rsidRPr="009F1EDD">
        <w:rPr>
          <w:rFonts w:ascii="Arial" w:hAnsi="Arial" w:cs="Arial"/>
          <w:bCs/>
          <w:color w:val="auto"/>
          <w:sz w:val="20"/>
        </w:rPr>
        <w:t>There is no parent or responsible adult actively participating in the service</w:t>
      </w:r>
    </w:p>
    <w:p w14:paraId="67280A4A" w14:textId="77777777" w:rsidR="009F1EDD" w:rsidRPr="009F1EDD" w:rsidRDefault="009F1EDD" w:rsidP="009F1EDD">
      <w:pPr>
        <w:ind w:left="0"/>
        <w:rPr>
          <w:rFonts w:ascii="Arial" w:hAnsi="Arial" w:cs="Arial"/>
          <w:bCs/>
          <w:color w:val="auto"/>
          <w:sz w:val="20"/>
        </w:rPr>
      </w:pPr>
      <w:r w:rsidRPr="009F1EDD">
        <w:rPr>
          <w:rFonts w:ascii="Arial" w:hAnsi="Arial" w:cs="Arial"/>
          <w:b/>
          <w:color w:val="auto"/>
          <w:sz w:val="20"/>
        </w:rPr>
        <w:t>Note:</w:t>
      </w:r>
      <w:r w:rsidRPr="009F1EDD">
        <w:rPr>
          <w:rFonts w:ascii="Arial" w:hAnsi="Arial" w:cs="Arial"/>
          <w:bCs/>
          <w:color w:val="auto"/>
          <w:sz w:val="20"/>
        </w:rPr>
        <w:t xml:space="preserve"> Discharges shall also be warranted when the service documentation does not demonstrate that services meet the IIH service definition or when the services progress meets the “failed services” definition. Discharge is required when the youth has achieved maximal benefit from this level of care and their level of functioning has not improved despite the length of time in treatment and interventions attempted.</w:t>
      </w:r>
    </w:p>
    <w:p w14:paraId="619A0405" w14:textId="350DA2B7" w:rsidR="009F1EDD" w:rsidRPr="009F1EDD" w:rsidRDefault="009F1EDD" w:rsidP="009F1EDD">
      <w:pPr>
        <w:ind w:left="0"/>
        <w:rPr>
          <w:rFonts w:ascii="Arial" w:hAnsi="Arial" w:cs="Arial"/>
          <w:bCs/>
          <w:color w:val="auto"/>
          <w:sz w:val="20"/>
        </w:rPr>
      </w:pPr>
      <w:r w:rsidRPr="009F1EDD">
        <w:rPr>
          <w:rFonts w:ascii="Arial" w:hAnsi="Arial" w:cs="Arial"/>
          <w:b/>
          <w:color w:val="auto"/>
          <w:sz w:val="20"/>
        </w:rPr>
        <w:t>Note:</w:t>
      </w:r>
      <w:r w:rsidRPr="009F1EDD">
        <w:rPr>
          <w:rFonts w:ascii="Arial" w:hAnsi="Arial" w:cs="Arial"/>
          <w:bCs/>
          <w:color w:val="auto"/>
          <w:sz w:val="20"/>
        </w:rPr>
        <w:t xml:space="preserve"> If there is a lapse in services that is greater than 31 consecutive calendar days without any communications from family members/legal guardian or the youth with the service provider, the provider shall discharge the youth.</w:t>
      </w:r>
    </w:p>
    <w:p w14:paraId="3C760738" w14:textId="2CD24CB6" w:rsidR="0062053E" w:rsidRPr="00777B22" w:rsidRDefault="0062053E" w:rsidP="00F34761">
      <w:pPr>
        <w:pStyle w:val="Heading2"/>
        <w:shd w:val="clear" w:color="auto" w:fill="82B0E4" w:themeFill="text2" w:themeFillTint="66"/>
        <w:ind w:left="0" w:right="90"/>
        <w:rPr>
          <w:rFonts w:ascii="Georgia" w:hAnsi="Georgia"/>
        </w:rPr>
      </w:pPr>
      <w:hyperlink w:anchor="_top" w:history="1">
        <w:r w:rsidRPr="00777B22">
          <w:rPr>
            <w:rStyle w:val="Hyperlink"/>
            <w:rFonts w:ascii="Georgia" w:hAnsi="Georgia"/>
            <w:u w:val="none"/>
          </w:rPr>
          <w:t>Coding:</w:t>
        </w:r>
      </w:hyperlink>
    </w:p>
    <w:p w14:paraId="16FFC451" w14:textId="77777777" w:rsidR="0062053E" w:rsidRPr="009D0938" w:rsidRDefault="0062053E" w:rsidP="00E81357">
      <w:pPr>
        <w:tabs>
          <w:tab w:val="left" w:pos="10080"/>
        </w:tabs>
        <w:spacing w:after="0"/>
        <w:ind w:left="0"/>
        <w:rPr>
          <w:rFonts w:ascii="Arial" w:hAnsi="Arial" w:cs="Arial"/>
          <w:color w:val="auto"/>
          <w:sz w:val="20"/>
        </w:rPr>
      </w:pPr>
      <w:r w:rsidRPr="009D0938">
        <w:rPr>
          <w:rFonts w:ascii="Arial" w:hAnsi="Arial" w:cs="Arial"/>
          <w:color w:val="auto"/>
          <w:sz w:val="20"/>
        </w:rPr>
        <w:t>Medically necessary with criteria:</w:t>
      </w:r>
    </w:p>
    <w:tbl>
      <w:tblPr>
        <w:tblStyle w:val="TableGrid"/>
        <w:tblW w:w="0" w:type="auto"/>
        <w:tblLook w:val="04A0" w:firstRow="1" w:lastRow="0" w:firstColumn="1" w:lastColumn="0" w:noHBand="0" w:noVBand="1"/>
      </w:tblPr>
      <w:tblGrid>
        <w:gridCol w:w="1649"/>
        <w:gridCol w:w="9056"/>
      </w:tblGrid>
      <w:tr w:rsidR="009D0938" w:rsidRPr="009D0938" w14:paraId="4DB58456" w14:textId="77777777" w:rsidTr="00BA57BF">
        <w:trPr>
          <w:trHeight w:val="449"/>
        </w:trPr>
        <w:tc>
          <w:tcPr>
            <w:tcW w:w="1649" w:type="dxa"/>
          </w:tcPr>
          <w:p w14:paraId="6D1B0A26" w14:textId="77777777" w:rsidR="0062053E" w:rsidRPr="009D0938" w:rsidRDefault="0062053E" w:rsidP="00E81357">
            <w:pPr>
              <w:tabs>
                <w:tab w:val="left" w:pos="1342"/>
                <w:tab w:val="left" w:pos="10080"/>
              </w:tabs>
              <w:spacing w:after="0"/>
              <w:ind w:left="0"/>
              <w:rPr>
                <w:rFonts w:ascii="Arial" w:hAnsi="Arial" w:cs="Arial"/>
                <w:color w:val="auto"/>
                <w:sz w:val="20"/>
              </w:rPr>
            </w:pPr>
            <w:r w:rsidRPr="009D0938">
              <w:rPr>
                <w:rFonts w:ascii="Arial" w:hAnsi="Arial" w:cs="Arial"/>
                <w:color w:val="auto"/>
                <w:sz w:val="20"/>
              </w:rPr>
              <w:t>Coding</w:t>
            </w:r>
          </w:p>
        </w:tc>
        <w:tc>
          <w:tcPr>
            <w:tcW w:w="9056" w:type="dxa"/>
          </w:tcPr>
          <w:p w14:paraId="416152E2" w14:textId="77777777" w:rsidR="0062053E" w:rsidRPr="009D0938" w:rsidRDefault="0062053E" w:rsidP="00E81357">
            <w:pPr>
              <w:tabs>
                <w:tab w:val="left" w:pos="1342"/>
                <w:tab w:val="left" w:pos="10080"/>
              </w:tabs>
              <w:spacing w:after="0"/>
              <w:ind w:left="0"/>
              <w:rPr>
                <w:rFonts w:ascii="Arial" w:hAnsi="Arial" w:cs="Arial"/>
                <w:color w:val="auto"/>
                <w:sz w:val="20"/>
              </w:rPr>
            </w:pPr>
            <w:r w:rsidRPr="009D0938">
              <w:rPr>
                <w:rFonts w:ascii="Arial" w:hAnsi="Arial" w:cs="Arial"/>
                <w:color w:val="auto"/>
                <w:sz w:val="20"/>
              </w:rPr>
              <w:t>Description</w:t>
            </w:r>
          </w:p>
        </w:tc>
      </w:tr>
      <w:tr w:rsidR="009D0938" w:rsidRPr="009D0938" w14:paraId="776A13CB" w14:textId="77777777" w:rsidTr="00BA57BF">
        <w:trPr>
          <w:trHeight w:val="603"/>
        </w:trPr>
        <w:tc>
          <w:tcPr>
            <w:tcW w:w="1649" w:type="dxa"/>
          </w:tcPr>
          <w:p w14:paraId="47A2C816" w14:textId="10DDB582" w:rsidR="00724617" w:rsidRPr="009D0938" w:rsidRDefault="00200247" w:rsidP="00724617">
            <w:pPr>
              <w:tabs>
                <w:tab w:val="left" w:pos="1342"/>
                <w:tab w:val="left" w:pos="10080"/>
              </w:tabs>
              <w:ind w:left="0"/>
              <w:rPr>
                <w:rFonts w:ascii="Arial" w:hAnsi="Arial" w:cs="Arial"/>
                <w:color w:val="auto"/>
                <w:sz w:val="20"/>
              </w:rPr>
            </w:pPr>
            <w:r w:rsidRPr="009D0938">
              <w:rPr>
                <w:rFonts w:ascii="Arial" w:eastAsia="Times New Roman" w:hAnsi="Arial" w:cs="Arial"/>
                <w:color w:val="auto"/>
                <w:sz w:val="20"/>
              </w:rPr>
              <w:t>H2012</w:t>
            </w:r>
          </w:p>
        </w:tc>
        <w:tc>
          <w:tcPr>
            <w:tcW w:w="9056" w:type="dxa"/>
          </w:tcPr>
          <w:p w14:paraId="4AE2BC99" w14:textId="3C80C5BC" w:rsidR="00724617" w:rsidRPr="009D0938" w:rsidRDefault="009D0938" w:rsidP="00724617">
            <w:pPr>
              <w:tabs>
                <w:tab w:val="left" w:pos="1342"/>
                <w:tab w:val="left" w:pos="10080"/>
              </w:tabs>
              <w:ind w:left="0"/>
              <w:rPr>
                <w:rFonts w:ascii="Arial" w:hAnsi="Arial" w:cs="Arial"/>
                <w:color w:val="auto"/>
                <w:sz w:val="20"/>
              </w:rPr>
            </w:pPr>
            <w:r w:rsidRPr="009D0938">
              <w:rPr>
                <w:rFonts w:ascii="Arial" w:eastAsia="Times New Roman" w:hAnsi="Arial" w:cs="Arial"/>
                <w:color w:val="auto"/>
                <w:sz w:val="20"/>
              </w:rPr>
              <w:t>Behavioral health day treatment, per hour</w:t>
            </w:r>
          </w:p>
        </w:tc>
      </w:tr>
      <w:tr w:rsidR="009D0938" w:rsidRPr="009D0938" w14:paraId="2CF06D98" w14:textId="77777777" w:rsidTr="00BA57BF">
        <w:trPr>
          <w:trHeight w:val="603"/>
        </w:trPr>
        <w:tc>
          <w:tcPr>
            <w:tcW w:w="1649" w:type="dxa"/>
          </w:tcPr>
          <w:p w14:paraId="3B864743" w14:textId="02CB7228" w:rsidR="00724617" w:rsidRPr="009D0938" w:rsidRDefault="009D0938" w:rsidP="00724617">
            <w:pPr>
              <w:tabs>
                <w:tab w:val="left" w:pos="1342"/>
                <w:tab w:val="left" w:pos="10080"/>
              </w:tabs>
              <w:ind w:left="0"/>
              <w:rPr>
                <w:rFonts w:ascii="Arial" w:hAnsi="Arial" w:cs="Arial"/>
                <w:color w:val="auto"/>
                <w:sz w:val="20"/>
              </w:rPr>
            </w:pPr>
            <w:r w:rsidRPr="009D0938">
              <w:rPr>
                <w:rFonts w:ascii="Arial" w:eastAsia="Times New Roman" w:hAnsi="Arial" w:cs="Arial"/>
                <w:color w:val="auto"/>
                <w:sz w:val="20"/>
              </w:rPr>
              <w:t>H0031</w:t>
            </w:r>
          </w:p>
        </w:tc>
        <w:tc>
          <w:tcPr>
            <w:tcW w:w="9056" w:type="dxa"/>
          </w:tcPr>
          <w:p w14:paraId="29689A33" w14:textId="2274ECFB" w:rsidR="00724617" w:rsidRPr="009D0938" w:rsidRDefault="009D0938" w:rsidP="00724617">
            <w:pPr>
              <w:tabs>
                <w:tab w:val="left" w:pos="1342"/>
                <w:tab w:val="left" w:pos="10080"/>
              </w:tabs>
              <w:ind w:left="0"/>
              <w:rPr>
                <w:rFonts w:ascii="Arial" w:hAnsi="Arial" w:cs="Arial"/>
                <w:color w:val="auto"/>
                <w:sz w:val="20"/>
              </w:rPr>
            </w:pPr>
            <w:r w:rsidRPr="009D0938">
              <w:rPr>
                <w:rFonts w:ascii="Arial" w:eastAsia="Times New Roman" w:hAnsi="Arial" w:cs="Arial"/>
                <w:color w:val="auto"/>
                <w:sz w:val="20"/>
              </w:rPr>
              <w:t>Mental health assessment, by nonphysician</w:t>
            </w:r>
          </w:p>
        </w:tc>
      </w:tr>
    </w:tbl>
    <w:p w14:paraId="454EBE3D" w14:textId="77777777" w:rsidR="0062053E" w:rsidRPr="009D0938" w:rsidRDefault="0062053E" w:rsidP="00E81357">
      <w:pPr>
        <w:tabs>
          <w:tab w:val="left" w:pos="1342"/>
          <w:tab w:val="left" w:pos="10080"/>
        </w:tabs>
        <w:spacing w:after="0"/>
        <w:ind w:left="0"/>
        <w:rPr>
          <w:rFonts w:ascii="Arial" w:hAnsi="Arial" w:cs="Arial"/>
          <w:color w:val="auto"/>
          <w:sz w:val="20"/>
        </w:rPr>
      </w:pPr>
      <w:r w:rsidRPr="009D0938">
        <w:rPr>
          <w:rFonts w:ascii="Arial" w:hAnsi="Arial" w:cs="Arial"/>
          <w:color w:val="auto"/>
          <w:sz w:val="20"/>
        </w:rPr>
        <w:t>Considered Not Medically Necessary:</w:t>
      </w:r>
    </w:p>
    <w:tbl>
      <w:tblPr>
        <w:tblStyle w:val="TableGrid"/>
        <w:tblW w:w="10795" w:type="dxa"/>
        <w:tblLook w:val="04A0" w:firstRow="1" w:lastRow="0" w:firstColumn="1" w:lastColumn="0" w:noHBand="0" w:noVBand="1"/>
      </w:tblPr>
      <w:tblGrid>
        <w:gridCol w:w="1632"/>
        <w:gridCol w:w="9163"/>
      </w:tblGrid>
      <w:tr w:rsidR="009D0938" w:rsidRPr="009D0938" w14:paraId="35E03218" w14:textId="77777777" w:rsidTr="00096F79">
        <w:trPr>
          <w:trHeight w:val="440"/>
        </w:trPr>
        <w:tc>
          <w:tcPr>
            <w:tcW w:w="1632" w:type="dxa"/>
          </w:tcPr>
          <w:p w14:paraId="78E50A11" w14:textId="77777777" w:rsidR="0062053E" w:rsidRPr="009D0938" w:rsidRDefault="0062053E" w:rsidP="00E81357">
            <w:pPr>
              <w:tabs>
                <w:tab w:val="left" w:pos="1342"/>
                <w:tab w:val="left" w:pos="10080"/>
              </w:tabs>
              <w:spacing w:after="0"/>
              <w:ind w:left="0"/>
              <w:rPr>
                <w:rFonts w:ascii="Arial" w:hAnsi="Arial" w:cs="Arial"/>
                <w:color w:val="auto"/>
                <w:sz w:val="20"/>
              </w:rPr>
            </w:pPr>
            <w:r w:rsidRPr="009D0938">
              <w:rPr>
                <w:rFonts w:ascii="Arial" w:hAnsi="Arial" w:cs="Arial"/>
                <w:color w:val="auto"/>
                <w:sz w:val="20"/>
              </w:rPr>
              <w:t>Coding</w:t>
            </w:r>
          </w:p>
        </w:tc>
        <w:tc>
          <w:tcPr>
            <w:tcW w:w="9163" w:type="dxa"/>
          </w:tcPr>
          <w:p w14:paraId="05C01B33" w14:textId="77777777" w:rsidR="0062053E" w:rsidRPr="009D0938" w:rsidRDefault="0062053E" w:rsidP="00E81357">
            <w:pPr>
              <w:tabs>
                <w:tab w:val="left" w:pos="1342"/>
                <w:tab w:val="left" w:pos="10080"/>
              </w:tabs>
              <w:spacing w:after="0"/>
              <w:ind w:left="0"/>
              <w:rPr>
                <w:rFonts w:ascii="Arial" w:hAnsi="Arial" w:cs="Arial"/>
                <w:color w:val="auto"/>
                <w:sz w:val="20"/>
              </w:rPr>
            </w:pPr>
            <w:r w:rsidRPr="009D0938">
              <w:rPr>
                <w:rFonts w:ascii="Arial" w:hAnsi="Arial" w:cs="Arial"/>
                <w:color w:val="auto"/>
                <w:sz w:val="20"/>
              </w:rPr>
              <w:t>Description</w:t>
            </w:r>
          </w:p>
        </w:tc>
      </w:tr>
      <w:tr w:rsidR="009D0938" w:rsidRPr="009D0938" w14:paraId="1BF824B5" w14:textId="77777777" w:rsidTr="00096F79">
        <w:trPr>
          <w:trHeight w:val="603"/>
        </w:trPr>
        <w:tc>
          <w:tcPr>
            <w:tcW w:w="1632" w:type="dxa"/>
          </w:tcPr>
          <w:p w14:paraId="74EE8FE4" w14:textId="5091045F" w:rsidR="0062053E" w:rsidRPr="009D0938" w:rsidRDefault="0062053E" w:rsidP="00E81357">
            <w:pPr>
              <w:tabs>
                <w:tab w:val="left" w:pos="792"/>
                <w:tab w:val="left" w:pos="10080"/>
              </w:tabs>
              <w:ind w:left="0"/>
              <w:rPr>
                <w:rFonts w:ascii="Arial" w:hAnsi="Arial" w:cs="Arial"/>
                <w:color w:val="auto"/>
                <w:sz w:val="20"/>
              </w:rPr>
            </w:pPr>
          </w:p>
        </w:tc>
        <w:tc>
          <w:tcPr>
            <w:tcW w:w="9163" w:type="dxa"/>
          </w:tcPr>
          <w:p w14:paraId="7F132179" w14:textId="7DFEEC92" w:rsidR="0062053E" w:rsidRPr="009D0938" w:rsidRDefault="00724617" w:rsidP="00E81357">
            <w:pPr>
              <w:tabs>
                <w:tab w:val="left" w:pos="1342"/>
                <w:tab w:val="left" w:pos="10080"/>
              </w:tabs>
              <w:ind w:left="0"/>
              <w:rPr>
                <w:rFonts w:ascii="Arial" w:hAnsi="Arial" w:cs="Arial"/>
                <w:color w:val="auto"/>
                <w:sz w:val="20"/>
              </w:rPr>
            </w:pPr>
            <w:r w:rsidRPr="009D0938">
              <w:rPr>
                <w:rFonts w:ascii="Arial" w:hAnsi="Arial" w:cs="Arial"/>
                <w:color w:val="auto"/>
                <w:sz w:val="20"/>
              </w:rPr>
              <w:t>None</w:t>
            </w:r>
          </w:p>
        </w:tc>
      </w:tr>
    </w:tbl>
    <w:p w14:paraId="68E76668" w14:textId="77777777" w:rsidR="0062053E" w:rsidRPr="009D0938" w:rsidRDefault="0062053E" w:rsidP="00E81357">
      <w:pPr>
        <w:tabs>
          <w:tab w:val="left" w:pos="1342"/>
          <w:tab w:val="left" w:pos="10080"/>
        </w:tabs>
        <w:ind w:left="0"/>
        <w:rPr>
          <w:rFonts w:ascii="Arial" w:hAnsi="Arial" w:cs="Arial"/>
          <w:color w:val="auto"/>
          <w:sz w:val="20"/>
        </w:rPr>
      </w:pPr>
      <w:r w:rsidRPr="009D0938">
        <w:rPr>
          <w:rFonts w:ascii="Arial" w:hAnsi="Arial" w:cs="Arial"/>
          <w:color w:val="auto"/>
          <w:sz w:val="20"/>
        </w:rPr>
        <w:t>U.S. Food and Drug Administration (FDA) - approved only products only.</w:t>
      </w:r>
    </w:p>
    <w:bookmarkStart w:id="18" w:name="_Document_History:"/>
    <w:bookmarkEnd w:id="18"/>
    <w:p w14:paraId="1050A1AA" w14:textId="22DCA3ED" w:rsidR="0062053E" w:rsidRPr="00777B22" w:rsidRDefault="00777B22" w:rsidP="00F34761">
      <w:pPr>
        <w:pStyle w:val="Heading2"/>
        <w:shd w:val="clear" w:color="auto" w:fill="82B0E4" w:themeFill="text2" w:themeFillTint="66"/>
        <w:ind w:left="0" w:right="90"/>
        <w:rPr>
          <w:rFonts w:ascii="Georgia" w:hAnsi="Georgia"/>
          <w:color w:val="auto"/>
        </w:rPr>
      </w:pPr>
      <w:r w:rsidRPr="00777B22">
        <w:rPr>
          <w:rFonts w:ascii="Georgia" w:hAnsi="Georgia"/>
          <w:color w:val="auto"/>
        </w:rPr>
        <w:fldChar w:fldCharType="begin"/>
      </w:r>
      <w:r w:rsidRPr="00777B22">
        <w:rPr>
          <w:rFonts w:ascii="Georgia" w:hAnsi="Georgia"/>
          <w:color w:val="auto"/>
        </w:rPr>
        <w:instrText>HYPERLINK  \l "_top"</w:instrText>
      </w:r>
      <w:r w:rsidRPr="00777B22">
        <w:rPr>
          <w:rFonts w:ascii="Georgia" w:hAnsi="Georgia"/>
          <w:color w:val="auto"/>
        </w:rPr>
      </w:r>
      <w:r w:rsidRPr="00777B22">
        <w:rPr>
          <w:rFonts w:ascii="Georgia" w:hAnsi="Georgia"/>
          <w:color w:val="auto"/>
        </w:rPr>
        <w:fldChar w:fldCharType="separate"/>
      </w:r>
      <w:r w:rsidR="0062053E" w:rsidRPr="00777B22">
        <w:rPr>
          <w:rStyle w:val="Hyperlink"/>
          <w:rFonts w:ascii="Georgia" w:hAnsi="Georgia"/>
          <w:u w:val="none"/>
        </w:rPr>
        <w:t>Document History:</w:t>
      </w:r>
      <w:r w:rsidRPr="00777B22">
        <w:rPr>
          <w:rFonts w:ascii="Georgia" w:hAnsi="Georgia"/>
          <w:color w:val="auto"/>
        </w:rPr>
        <w:fldChar w:fldCharType="end"/>
      </w:r>
    </w:p>
    <w:p w14:paraId="0056B03B" w14:textId="77777777" w:rsidR="0062053E" w:rsidRDefault="0062053E" w:rsidP="00E81357">
      <w:pPr>
        <w:tabs>
          <w:tab w:val="left" w:pos="10080"/>
        </w:tabs>
        <w:spacing w:before="0" w:after="0"/>
        <w:ind w:left="0"/>
        <w:rPr>
          <w:rFonts w:ascii="Arial" w:hAnsi="Arial" w:cs="Arial"/>
          <w:color w:val="auto"/>
          <w:sz w:val="20"/>
        </w:rPr>
      </w:pPr>
      <w:r w:rsidRPr="009D0938">
        <w:rPr>
          <w:rFonts w:ascii="Arial" w:hAnsi="Arial" w:cs="Arial"/>
          <w:color w:val="auto"/>
          <w:sz w:val="20"/>
        </w:rPr>
        <w:t>Revised Dates:</w:t>
      </w:r>
    </w:p>
    <w:p w14:paraId="0748FB2F" w14:textId="04933FF1" w:rsidR="009F1EDD" w:rsidRPr="006B79E0" w:rsidRDefault="009F1EDD" w:rsidP="006B79E0">
      <w:pPr>
        <w:pStyle w:val="ListParagraph"/>
        <w:numPr>
          <w:ilvl w:val="0"/>
          <w:numId w:val="27"/>
        </w:numPr>
        <w:tabs>
          <w:tab w:val="left" w:pos="10080"/>
        </w:tabs>
        <w:spacing w:before="0" w:after="0"/>
        <w:rPr>
          <w:rFonts w:ascii="Arial" w:hAnsi="Arial" w:cs="Arial"/>
          <w:color w:val="auto"/>
          <w:sz w:val="20"/>
        </w:rPr>
      </w:pPr>
      <w:r w:rsidRPr="006B79E0">
        <w:rPr>
          <w:rFonts w:ascii="Arial" w:hAnsi="Arial" w:cs="Arial"/>
          <w:color w:val="auto"/>
          <w:sz w:val="20"/>
        </w:rPr>
        <w:t>2024: August</w:t>
      </w:r>
    </w:p>
    <w:p w14:paraId="14248DFB" w14:textId="77777777" w:rsidR="009D0938" w:rsidRPr="006B79E0" w:rsidRDefault="009D0938" w:rsidP="006B79E0">
      <w:pPr>
        <w:pStyle w:val="ListParagraph"/>
        <w:numPr>
          <w:ilvl w:val="0"/>
          <w:numId w:val="27"/>
        </w:numPr>
        <w:tabs>
          <w:tab w:val="left" w:pos="10080"/>
        </w:tabs>
        <w:spacing w:before="0" w:after="0"/>
        <w:rPr>
          <w:rFonts w:ascii="Arial" w:eastAsia="Franklin Gothic Book" w:hAnsi="Arial" w:cs="Arial"/>
          <w:color w:val="auto"/>
          <w:sz w:val="20"/>
        </w:rPr>
      </w:pPr>
      <w:r w:rsidRPr="006B79E0">
        <w:rPr>
          <w:rFonts w:ascii="Arial" w:eastAsia="Franklin Gothic Book" w:hAnsi="Arial" w:cs="Arial"/>
          <w:color w:val="auto"/>
          <w:sz w:val="20"/>
        </w:rPr>
        <w:lastRenderedPageBreak/>
        <w:t>2023: April</w:t>
      </w:r>
    </w:p>
    <w:p w14:paraId="59678995" w14:textId="77777777" w:rsidR="009D0938" w:rsidRPr="006B79E0" w:rsidRDefault="009D0938" w:rsidP="006B79E0">
      <w:pPr>
        <w:pStyle w:val="ListParagraph"/>
        <w:numPr>
          <w:ilvl w:val="0"/>
          <w:numId w:val="27"/>
        </w:numPr>
        <w:tabs>
          <w:tab w:val="left" w:pos="10080"/>
        </w:tabs>
        <w:spacing w:before="0" w:after="0"/>
        <w:rPr>
          <w:rFonts w:ascii="Arial" w:eastAsia="Franklin Gothic Book" w:hAnsi="Arial" w:cs="Arial"/>
          <w:color w:val="auto"/>
          <w:sz w:val="20"/>
        </w:rPr>
      </w:pPr>
      <w:r w:rsidRPr="006B79E0">
        <w:rPr>
          <w:rFonts w:ascii="Arial" w:eastAsia="Franklin Gothic Book" w:hAnsi="Arial" w:cs="Arial"/>
          <w:color w:val="auto"/>
          <w:sz w:val="20"/>
        </w:rPr>
        <w:t>2022: May, June</w:t>
      </w:r>
    </w:p>
    <w:p w14:paraId="74160A31" w14:textId="77777777" w:rsidR="009D0938" w:rsidRPr="006B79E0" w:rsidRDefault="009D0938" w:rsidP="006B79E0">
      <w:pPr>
        <w:pStyle w:val="ListParagraph"/>
        <w:numPr>
          <w:ilvl w:val="0"/>
          <w:numId w:val="27"/>
        </w:numPr>
        <w:tabs>
          <w:tab w:val="left" w:pos="10080"/>
        </w:tabs>
        <w:spacing w:before="0" w:after="0"/>
        <w:rPr>
          <w:rFonts w:ascii="Arial" w:eastAsia="Franklin Gothic Book" w:hAnsi="Arial" w:cs="Arial"/>
          <w:color w:val="auto"/>
          <w:sz w:val="20"/>
        </w:rPr>
      </w:pPr>
      <w:r w:rsidRPr="006B79E0">
        <w:rPr>
          <w:rFonts w:ascii="Arial" w:eastAsia="Franklin Gothic Book" w:hAnsi="Arial" w:cs="Arial"/>
          <w:color w:val="auto"/>
          <w:sz w:val="20"/>
        </w:rPr>
        <w:t>2021: June, October</w:t>
      </w:r>
    </w:p>
    <w:p w14:paraId="0C91FDAE" w14:textId="77777777" w:rsidR="009D0938" w:rsidRPr="006B79E0" w:rsidRDefault="009D0938" w:rsidP="006B79E0">
      <w:pPr>
        <w:pStyle w:val="ListParagraph"/>
        <w:numPr>
          <w:ilvl w:val="0"/>
          <w:numId w:val="27"/>
        </w:numPr>
        <w:tabs>
          <w:tab w:val="left" w:pos="10080"/>
        </w:tabs>
        <w:spacing w:before="0" w:after="0"/>
        <w:rPr>
          <w:rFonts w:ascii="Arial" w:eastAsia="Franklin Gothic Book" w:hAnsi="Arial" w:cs="Arial"/>
          <w:color w:val="auto"/>
          <w:sz w:val="20"/>
        </w:rPr>
      </w:pPr>
      <w:r w:rsidRPr="006B79E0">
        <w:rPr>
          <w:rFonts w:ascii="Arial" w:eastAsia="Franklin Gothic Book" w:hAnsi="Arial" w:cs="Arial"/>
          <w:color w:val="auto"/>
          <w:sz w:val="20"/>
        </w:rPr>
        <w:t>2020: July</w:t>
      </w:r>
    </w:p>
    <w:p w14:paraId="70D1884C" w14:textId="57BDA3B2" w:rsidR="00A576BA" w:rsidRPr="006B79E0" w:rsidRDefault="009D0938" w:rsidP="006B79E0">
      <w:pPr>
        <w:pStyle w:val="ListParagraph"/>
        <w:numPr>
          <w:ilvl w:val="0"/>
          <w:numId w:val="27"/>
        </w:numPr>
        <w:tabs>
          <w:tab w:val="left" w:pos="10080"/>
        </w:tabs>
        <w:spacing w:before="0" w:after="0"/>
        <w:rPr>
          <w:rFonts w:ascii="Arial" w:hAnsi="Arial" w:cs="Arial"/>
          <w:color w:val="auto"/>
          <w:sz w:val="20"/>
        </w:rPr>
      </w:pPr>
      <w:r w:rsidRPr="006B79E0">
        <w:rPr>
          <w:rFonts w:ascii="Arial" w:eastAsia="Franklin Gothic Book" w:hAnsi="Arial" w:cs="Arial"/>
          <w:color w:val="auto"/>
          <w:sz w:val="20"/>
        </w:rPr>
        <w:t>2019: October</w:t>
      </w:r>
    </w:p>
    <w:p w14:paraId="02B9F4AB" w14:textId="77777777" w:rsidR="009D0938" w:rsidRPr="009D0938" w:rsidRDefault="009D0938" w:rsidP="009D0938">
      <w:pPr>
        <w:pStyle w:val="ListParagraph"/>
        <w:tabs>
          <w:tab w:val="left" w:pos="10080"/>
        </w:tabs>
        <w:spacing w:before="0" w:after="0"/>
        <w:ind w:left="1080"/>
        <w:rPr>
          <w:rFonts w:ascii="Arial" w:hAnsi="Arial" w:cs="Arial"/>
          <w:color w:val="auto"/>
          <w:sz w:val="20"/>
        </w:rPr>
      </w:pPr>
    </w:p>
    <w:p w14:paraId="3B384C22" w14:textId="77777777" w:rsidR="0062053E" w:rsidRPr="009D0938" w:rsidRDefault="0062053E" w:rsidP="00E81357">
      <w:pPr>
        <w:tabs>
          <w:tab w:val="left" w:pos="10080"/>
        </w:tabs>
        <w:spacing w:before="0" w:after="0"/>
        <w:ind w:left="0"/>
        <w:rPr>
          <w:rFonts w:ascii="Arial" w:hAnsi="Arial" w:cs="Arial"/>
          <w:color w:val="auto"/>
          <w:sz w:val="20"/>
        </w:rPr>
      </w:pPr>
      <w:r w:rsidRPr="009D0938">
        <w:rPr>
          <w:rFonts w:ascii="Arial" w:hAnsi="Arial" w:cs="Arial"/>
          <w:color w:val="auto"/>
          <w:sz w:val="20"/>
        </w:rPr>
        <w:t>Reviewed Dates:</w:t>
      </w:r>
    </w:p>
    <w:p w14:paraId="55C5D392" w14:textId="77777777" w:rsidR="009D0938" w:rsidRPr="006B79E0" w:rsidRDefault="009D0938" w:rsidP="006B79E0">
      <w:pPr>
        <w:pStyle w:val="ListParagraph"/>
        <w:numPr>
          <w:ilvl w:val="0"/>
          <w:numId w:val="28"/>
        </w:numPr>
        <w:tabs>
          <w:tab w:val="left" w:pos="10080"/>
        </w:tabs>
        <w:spacing w:before="0" w:after="0"/>
        <w:rPr>
          <w:rFonts w:ascii="Arial" w:eastAsia="Franklin Gothic Book" w:hAnsi="Arial" w:cs="Arial"/>
          <w:color w:val="auto"/>
          <w:sz w:val="20"/>
        </w:rPr>
      </w:pPr>
      <w:r w:rsidRPr="006B79E0">
        <w:rPr>
          <w:rFonts w:ascii="Arial" w:eastAsia="Franklin Gothic Book" w:hAnsi="Arial" w:cs="Arial"/>
          <w:color w:val="auto"/>
          <w:sz w:val="20"/>
        </w:rPr>
        <w:t>2019: July</w:t>
      </w:r>
    </w:p>
    <w:p w14:paraId="1F465C31" w14:textId="77777777" w:rsidR="009D0938" w:rsidRPr="006B79E0" w:rsidRDefault="009D0938" w:rsidP="006B79E0">
      <w:pPr>
        <w:pStyle w:val="ListParagraph"/>
        <w:numPr>
          <w:ilvl w:val="0"/>
          <w:numId w:val="28"/>
        </w:numPr>
        <w:tabs>
          <w:tab w:val="left" w:pos="10080"/>
        </w:tabs>
        <w:spacing w:before="0" w:after="0"/>
        <w:rPr>
          <w:rFonts w:ascii="Arial" w:eastAsia="Franklin Gothic Book" w:hAnsi="Arial" w:cs="Arial"/>
          <w:color w:val="auto"/>
          <w:sz w:val="20"/>
        </w:rPr>
      </w:pPr>
      <w:r w:rsidRPr="006B79E0">
        <w:rPr>
          <w:rFonts w:ascii="Arial" w:eastAsia="Franklin Gothic Book" w:hAnsi="Arial" w:cs="Arial"/>
          <w:color w:val="auto"/>
          <w:sz w:val="20"/>
        </w:rPr>
        <w:t xml:space="preserve">2018: December </w:t>
      </w:r>
    </w:p>
    <w:p w14:paraId="104283EC" w14:textId="77777777" w:rsidR="009D0938" w:rsidRPr="009D0938" w:rsidRDefault="009D0938" w:rsidP="009D0938">
      <w:pPr>
        <w:tabs>
          <w:tab w:val="left" w:pos="10080"/>
        </w:tabs>
        <w:spacing w:before="0" w:after="0"/>
        <w:ind w:left="0"/>
        <w:rPr>
          <w:rFonts w:ascii="Arial" w:eastAsia="Franklin Gothic Book" w:hAnsi="Arial" w:cs="Arial"/>
          <w:color w:val="auto"/>
          <w:sz w:val="20"/>
        </w:rPr>
      </w:pPr>
    </w:p>
    <w:p w14:paraId="2D10C0F7" w14:textId="694B7E8B" w:rsidR="0062053E" w:rsidRPr="009D0938" w:rsidRDefault="0062053E" w:rsidP="009D0938">
      <w:pPr>
        <w:tabs>
          <w:tab w:val="left" w:pos="10080"/>
        </w:tabs>
        <w:spacing w:before="0" w:after="0"/>
        <w:ind w:left="0"/>
        <w:rPr>
          <w:rFonts w:ascii="Arial" w:hAnsi="Arial" w:cs="Arial"/>
          <w:color w:val="auto"/>
          <w:sz w:val="20"/>
        </w:rPr>
      </w:pPr>
      <w:r w:rsidRPr="009D0938">
        <w:rPr>
          <w:rFonts w:ascii="Arial" w:hAnsi="Arial" w:cs="Arial"/>
          <w:color w:val="auto"/>
          <w:sz w:val="20"/>
        </w:rPr>
        <w:t xml:space="preserve">Effective Date: </w:t>
      </w:r>
    </w:p>
    <w:p w14:paraId="76C79EFD" w14:textId="51E83B43" w:rsidR="0062053E" w:rsidRPr="006B79E0" w:rsidRDefault="009D0938" w:rsidP="006B79E0">
      <w:pPr>
        <w:pStyle w:val="ListParagraph"/>
        <w:numPr>
          <w:ilvl w:val="0"/>
          <w:numId w:val="29"/>
        </w:numPr>
        <w:tabs>
          <w:tab w:val="left" w:pos="10080"/>
        </w:tabs>
        <w:spacing w:before="0" w:after="0"/>
        <w:rPr>
          <w:rFonts w:ascii="Arial" w:hAnsi="Arial" w:cs="Arial"/>
          <w:color w:val="auto"/>
          <w:sz w:val="20"/>
        </w:rPr>
      </w:pPr>
      <w:r w:rsidRPr="006B79E0">
        <w:rPr>
          <w:rFonts w:ascii="Arial" w:hAnsi="Arial" w:cs="Arial"/>
          <w:color w:val="auto"/>
          <w:sz w:val="20"/>
        </w:rPr>
        <w:t>January 2018</w:t>
      </w:r>
    </w:p>
    <w:p w14:paraId="632B5940" w14:textId="77777777" w:rsidR="0062053E" w:rsidRPr="00540023" w:rsidRDefault="0062053E" w:rsidP="00E81357">
      <w:pPr>
        <w:tabs>
          <w:tab w:val="left" w:pos="10080"/>
        </w:tabs>
        <w:spacing w:before="0" w:after="0"/>
        <w:rPr>
          <w:rFonts w:ascii="Calibri" w:hAnsi="Calibri" w:cs="Calibri"/>
          <w:color w:val="auto"/>
        </w:rPr>
      </w:pPr>
    </w:p>
    <w:bookmarkStart w:id="19" w:name="_References:"/>
    <w:bookmarkEnd w:id="19"/>
    <w:p w14:paraId="110BEA82" w14:textId="34BDDBB6" w:rsidR="0062053E" w:rsidRPr="00E433F9" w:rsidRDefault="00E433F9" w:rsidP="00F34761">
      <w:pPr>
        <w:pStyle w:val="Heading2"/>
        <w:shd w:val="clear" w:color="auto" w:fill="82B0E4" w:themeFill="text2" w:themeFillTint="66"/>
        <w:ind w:left="0" w:right="90"/>
        <w:rPr>
          <w:rFonts w:ascii="Georgia" w:hAnsi="Georgia"/>
          <w:color w:val="auto"/>
        </w:rPr>
      </w:pPr>
      <w:r w:rsidRPr="00E433F9">
        <w:rPr>
          <w:rFonts w:ascii="Georgia" w:hAnsi="Georgia"/>
          <w:color w:val="auto"/>
          <w:shd w:val="clear" w:color="auto" w:fill="82B0E4" w:themeFill="text2" w:themeFillTint="66"/>
        </w:rPr>
        <w:fldChar w:fldCharType="begin"/>
      </w:r>
      <w:r w:rsidRPr="00E433F9">
        <w:rPr>
          <w:rFonts w:ascii="Georgia" w:hAnsi="Georgia"/>
          <w:color w:val="auto"/>
          <w:shd w:val="clear" w:color="auto" w:fill="82B0E4" w:themeFill="text2" w:themeFillTint="66"/>
        </w:rPr>
        <w:instrText>HYPERLINK  \l "_top"</w:instrText>
      </w:r>
      <w:r w:rsidRPr="00E433F9">
        <w:rPr>
          <w:rFonts w:ascii="Georgia" w:hAnsi="Georgia"/>
          <w:color w:val="auto"/>
          <w:shd w:val="clear" w:color="auto" w:fill="82B0E4" w:themeFill="text2" w:themeFillTint="66"/>
        </w:rPr>
      </w:r>
      <w:r w:rsidRPr="00E433F9">
        <w:rPr>
          <w:rFonts w:ascii="Georgia" w:hAnsi="Georgia"/>
          <w:color w:val="auto"/>
          <w:shd w:val="clear" w:color="auto" w:fill="82B0E4" w:themeFill="text2" w:themeFillTint="66"/>
        </w:rPr>
        <w:fldChar w:fldCharType="separate"/>
      </w:r>
      <w:r w:rsidR="0062053E" w:rsidRPr="00E433F9">
        <w:rPr>
          <w:rStyle w:val="Hyperlink"/>
          <w:rFonts w:ascii="Georgia" w:hAnsi="Georgia"/>
          <w:u w:val="none"/>
          <w:shd w:val="clear" w:color="auto" w:fill="82B0E4" w:themeFill="text2" w:themeFillTint="66"/>
        </w:rPr>
        <w:t>Refer</w:t>
      </w:r>
      <w:bookmarkStart w:id="20" w:name="_Hlt151111064"/>
      <w:r w:rsidR="0062053E" w:rsidRPr="00E433F9">
        <w:rPr>
          <w:rStyle w:val="Hyperlink"/>
          <w:rFonts w:ascii="Georgia" w:hAnsi="Georgia"/>
          <w:u w:val="none"/>
          <w:shd w:val="clear" w:color="auto" w:fill="82B0E4" w:themeFill="text2" w:themeFillTint="66"/>
        </w:rPr>
        <w:t>e</w:t>
      </w:r>
      <w:bookmarkEnd w:id="20"/>
      <w:r w:rsidR="0062053E" w:rsidRPr="00E433F9">
        <w:rPr>
          <w:rStyle w:val="Hyperlink"/>
          <w:rFonts w:ascii="Georgia" w:hAnsi="Georgia"/>
          <w:u w:val="none"/>
          <w:shd w:val="clear" w:color="auto" w:fill="82B0E4" w:themeFill="text2" w:themeFillTint="66"/>
        </w:rPr>
        <w:t>nces:</w:t>
      </w:r>
      <w:r w:rsidR="00EC20F6" w:rsidRPr="00E433F9">
        <w:rPr>
          <w:rStyle w:val="Hyperlink"/>
          <w:rFonts w:ascii="Georgia" w:hAnsi="Georgia"/>
          <w:u w:val="none"/>
        </w:rPr>
        <w:tab/>
      </w:r>
      <w:r w:rsidRPr="00E433F9">
        <w:rPr>
          <w:rFonts w:ascii="Georgia" w:hAnsi="Georgia"/>
          <w:color w:val="auto"/>
          <w:shd w:val="clear" w:color="auto" w:fill="82B0E4" w:themeFill="text2" w:themeFillTint="66"/>
        </w:rPr>
        <w:fldChar w:fldCharType="end"/>
      </w:r>
      <w:r w:rsidR="00DE0E77" w:rsidRPr="00E433F9">
        <w:rPr>
          <w:rFonts w:ascii="Georgia" w:hAnsi="Georgia"/>
          <w:color w:val="auto"/>
        </w:rPr>
        <w:tab/>
        <w:t xml:space="preserve">  </w:t>
      </w:r>
    </w:p>
    <w:p w14:paraId="1130332E" w14:textId="322A4CB0" w:rsidR="0062053E" w:rsidRPr="009F1EDD" w:rsidRDefault="00AE6E93" w:rsidP="00E81357">
      <w:pPr>
        <w:tabs>
          <w:tab w:val="left" w:pos="10080"/>
        </w:tabs>
        <w:ind w:left="0"/>
        <w:rPr>
          <w:rFonts w:ascii="Arial" w:hAnsi="Arial" w:cs="Arial"/>
          <w:color w:val="auto"/>
          <w:sz w:val="20"/>
        </w:rPr>
      </w:pPr>
      <w:r w:rsidRPr="009F1EDD">
        <w:rPr>
          <w:rFonts w:ascii="Arial" w:hAnsi="Arial" w:cs="Arial"/>
          <w:color w:val="auto"/>
          <w:sz w:val="20"/>
        </w:rPr>
        <w:t xml:space="preserve">Including but not limited to: </w:t>
      </w:r>
      <w:r w:rsidR="0062053E" w:rsidRPr="009F1EDD">
        <w:rPr>
          <w:rFonts w:ascii="Arial" w:hAnsi="Arial" w:cs="Arial"/>
          <w:color w:val="auto"/>
          <w:sz w:val="20"/>
        </w:rPr>
        <w:t>Specialty Association Guidelines; Government Regulations; Winifred S. Hayes, Inc; UpToDate; Literature Review; Specialty Advisors; National Coverage Determination (NCD); Local Coverage Determination (LCD).</w:t>
      </w:r>
    </w:p>
    <w:p w14:paraId="03192D93" w14:textId="77777777" w:rsidR="009D0938" w:rsidRPr="009F1EDD" w:rsidRDefault="009D0938" w:rsidP="009D0938">
      <w:pPr>
        <w:ind w:left="0"/>
        <w:rPr>
          <w:rFonts w:ascii="Arial" w:hAnsi="Arial" w:cs="Arial"/>
          <w:bCs/>
          <w:color w:val="auto"/>
          <w:sz w:val="20"/>
        </w:rPr>
      </w:pPr>
      <w:bookmarkStart w:id="21" w:name="_Special_Notes:_*"/>
      <w:bookmarkEnd w:id="21"/>
      <w:r w:rsidRPr="009F1EDD">
        <w:rPr>
          <w:rFonts w:ascii="Arial" w:hAnsi="Arial" w:cs="Arial"/>
          <w:bCs/>
          <w:color w:val="auto"/>
          <w:sz w:val="20"/>
        </w:rPr>
        <w:t>Behavioral health professionals are involved in the decision-making process for behavioral healthcare services.</w:t>
      </w:r>
    </w:p>
    <w:p w14:paraId="403366E1" w14:textId="77777777" w:rsidR="009F1EDD" w:rsidRPr="009F1EDD" w:rsidRDefault="009F1EDD" w:rsidP="009F1EDD">
      <w:pPr>
        <w:spacing w:after="0"/>
        <w:ind w:left="0"/>
        <w:rPr>
          <w:rStyle w:val="Hyperlink"/>
          <w:rFonts w:ascii="Arial" w:hAnsi="Arial" w:cs="Arial"/>
          <w:color w:val="auto"/>
          <w:sz w:val="20"/>
        </w:rPr>
      </w:pPr>
      <w:bookmarkStart w:id="22" w:name="_Hlk163224111"/>
      <w:r w:rsidRPr="009F1EDD">
        <w:rPr>
          <w:rFonts w:ascii="Arial" w:hAnsi="Arial" w:cs="Arial"/>
          <w:bCs/>
          <w:color w:val="auto"/>
          <w:sz w:val="20"/>
        </w:rPr>
        <w:t>Commonwealth of Virginia. Department of Medical Assistance Services.</w:t>
      </w:r>
      <w:bookmarkEnd w:id="22"/>
      <w:r w:rsidRPr="009F1EDD">
        <w:rPr>
          <w:rFonts w:ascii="Arial" w:hAnsi="Arial" w:cs="Arial"/>
          <w:bCs/>
          <w:color w:val="auto"/>
          <w:sz w:val="20"/>
        </w:rPr>
        <w:t xml:space="preserve"> Provider Manual Title: Mental Health Services. Revision Date: 6.14.2023. Appendix H: Community Mental Health Rehabilitative Services. Retrieved 4.17.2024. </w:t>
      </w:r>
      <w:hyperlink r:id="rId14" w:history="1">
        <w:r w:rsidRPr="009F1EDD">
          <w:rPr>
            <w:rStyle w:val="Hyperlink"/>
            <w:rFonts w:ascii="Arial" w:hAnsi="Arial" w:cs="Arial"/>
            <w:color w:val="auto"/>
            <w:sz w:val="20"/>
          </w:rPr>
          <w:t>https://vamedicaid.dmas.virginia.gov/sites/default/files/2023-07/MHS%20-%20Appendix%20H%20%28updated%206.14.23%29_Final.pdf</w:t>
        </w:r>
      </w:hyperlink>
    </w:p>
    <w:p w14:paraId="204DD545" w14:textId="77777777" w:rsidR="009F1EDD" w:rsidRPr="009F1EDD" w:rsidRDefault="009F1EDD" w:rsidP="009F1EDD">
      <w:pPr>
        <w:pStyle w:val="ListParagraph"/>
        <w:spacing w:after="0"/>
        <w:rPr>
          <w:rStyle w:val="Hyperlink"/>
          <w:rFonts w:ascii="Arial" w:hAnsi="Arial" w:cs="Arial"/>
          <w:color w:val="auto"/>
          <w:sz w:val="20"/>
        </w:rPr>
      </w:pPr>
    </w:p>
    <w:p w14:paraId="57CFB2DC" w14:textId="77777777" w:rsidR="009F1EDD" w:rsidRPr="009F1EDD" w:rsidRDefault="009F1EDD" w:rsidP="009F1EDD">
      <w:pPr>
        <w:spacing w:after="0"/>
        <w:ind w:left="0"/>
        <w:rPr>
          <w:rStyle w:val="Hyperlink"/>
          <w:rFonts w:ascii="Arial" w:hAnsi="Arial" w:cs="Arial"/>
          <w:bCs/>
          <w:color w:val="auto"/>
          <w:sz w:val="20"/>
        </w:rPr>
      </w:pPr>
      <w:r w:rsidRPr="009F1EDD">
        <w:rPr>
          <w:rFonts w:ascii="Arial" w:hAnsi="Arial" w:cs="Arial"/>
          <w:bCs/>
          <w:color w:val="auto"/>
          <w:sz w:val="20"/>
        </w:rPr>
        <w:t>Commonwealth of Virginia. Department of Medical Assistance Services. Provider Manual Title: Mental Health Services.</w:t>
      </w:r>
      <w:r w:rsidRPr="009F1EDD">
        <w:rPr>
          <w:rFonts w:ascii="Arial" w:hAnsi="Arial" w:cs="Arial"/>
          <w:color w:val="auto"/>
          <w:sz w:val="20"/>
        </w:rPr>
        <w:t xml:space="preserve"> </w:t>
      </w:r>
      <w:r w:rsidRPr="009F1EDD">
        <w:rPr>
          <w:rFonts w:ascii="Arial" w:hAnsi="Arial" w:cs="Arial"/>
          <w:bCs/>
          <w:color w:val="auto"/>
          <w:sz w:val="20"/>
        </w:rPr>
        <w:t xml:space="preserve">Revision Date: 12/29/2023. Appendix A: Definitions. Retrieved 4.17.2024. </w:t>
      </w:r>
      <w:hyperlink r:id="rId15" w:history="1">
        <w:r w:rsidRPr="009F1EDD">
          <w:rPr>
            <w:rStyle w:val="Hyperlink"/>
            <w:rFonts w:ascii="Arial" w:hAnsi="Arial" w:cs="Arial"/>
            <w:color w:val="auto"/>
            <w:sz w:val="20"/>
          </w:rPr>
          <w:t>https://vamedicaid.dmas.virginia.gov/sites/default/files/2023-12/MHS%20-%20Appendix%20A%20%28updated%2012.29.23%29.pdf</w:t>
        </w:r>
      </w:hyperlink>
    </w:p>
    <w:p w14:paraId="08718D39" w14:textId="77777777" w:rsidR="009F1EDD" w:rsidRPr="009F1EDD" w:rsidRDefault="009F1EDD" w:rsidP="009F1EDD">
      <w:pPr>
        <w:pStyle w:val="ListParagraph"/>
        <w:spacing w:after="0"/>
        <w:rPr>
          <w:rStyle w:val="Hyperlink"/>
          <w:rFonts w:ascii="Arial" w:hAnsi="Arial" w:cs="Arial"/>
          <w:bCs/>
          <w:color w:val="auto"/>
          <w:sz w:val="20"/>
        </w:rPr>
      </w:pPr>
    </w:p>
    <w:p w14:paraId="61F22FBD" w14:textId="77777777" w:rsidR="009F1EDD" w:rsidRPr="009F1EDD" w:rsidRDefault="009F1EDD" w:rsidP="009F1EDD">
      <w:pPr>
        <w:spacing w:after="0"/>
        <w:ind w:left="0"/>
        <w:rPr>
          <w:rStyle w:val="Hyperlink"/>
          <w:rFonts w:cstheme="minorHAnsi"/>
          <w:bCs/>
        </w:rPr>
      </w:pPr>
      <w:r w:rsidRPr="009F1EDD">
        <w:rPr>
          <w:rFonts w:ascii="Arial" w:hAnsi="Arial" w:cs="Arial"/>
          <w:bCs/>
          <w:color w:val="auto"/>
          <w:sz w:val="20"/>
        </w:rPr>
        <w:t>Commonwealth of Virginia. Department of Medical Assistance Services. Provider Manual Title: Mental Health Services.</w:t>
      </w:r>
      <w:r w:rsidRPr="009F1EDD">
        <w:rPr>
          <w:rFonts w:ascii="Arial" w:hAnsi="Arial" w:cs="Arial"/>
          <w:color w:val="auto"/>
          <w:sz w:val="20"/>
        </w:rPr>
        <w:t xml:space="preserve"> </w:t>
      </w:r>
      <w:r w:rsidRPr="009F1EDD">
        <w:rPr>
          <w:rFonts w:ascii="Arial" w:hAnsi="Arial" w:cs="Arial"/>
          <w:bCs/>
          <w:color w:val="auto"/>
          <w:sz w:val="20"/>
        </w:rPr>
        <w:t xml:space="preserve">Appendix C: Procedures Regarding Service Authorization of Mental Health Services. Revision Date 11.22.2021. Retrieved 4.17.2024. </w:t>
      </w:r>
      <w:hyperlink r:id="rId16" w:history="1">
        <w:r w:rsidRPr="009F1EDD">
          <w:rPr>
            <w:rStyle w:val="Hyperlink"/>
            <w:rFonts w:ascii="Arial" w:hAnsi="Arial" w:cs="Arial"/>
            <w:color w:val="auto"/>
            <w:sz w:val="20"/>
          </w:rPr>
          <w:t>https://vamedicaid.dmas.virginia.gov/sites/default/files/2023-07/MHS%20-%20Appendix%20C%20%28updated%2011.22.21%29_Final.pdf</w:t>
        </w:r>
      </w:hyperlink>
    </w:p>
    <w:p w14:paraId="45266277" w14:textId="77777777" w:rsidR="009F1EDD" w:rsidRDefault="009F1EDD" w:rsidP="009F1EDD">
      <w:pPr>
        <w:pStyle w:val="ListParagraph"/>
        <w:spacing w:after="0"/>
        <w:rPr>
          <w:rFonts w:cstheme="minorHAnsi"/>
          <w:bCs/>
        </w:rPr>
      </w:pPr>
    </w:p>
    <w:bookmarkStart w:id="23" w:name="_Special_Notes:_*_1"/>
    <w:bookmarkEnd w:id="23"/>
    <w:p w14:paraId="76A3DA1B" w14:textId="39CE3A3E" w:rsidR="0062053E" w:rsidRPr="00E433F9" w:rsidRDefault="006B79E0" w:rsidP="00F34761">
      <w:pPr>
        <w:pStyle w:val="Heading2"/>
        <w:shd w:val="clear" w:color="auto" w:fill="82B0E4" w:themeFill="text2" w:themeFillTint="66"/>
        <w:ind w:left="0" w:right="90"/>
        <w:rPr>
          <w:rFonts w:ascii="Georgia" w:hAnsi="Georgia"/>
          <w:color w:val="auto"/>
        </w:rPr>
      </w:pPr>
      <w:r>
        <w:fldChar w:fldCharType="begin"/>
      </w:r>
      <w:r>
        <w:instrText>HYPERLINK \l "_top"</w:instrText>
      </w:r>
      <w:r>
        <w:fldChar w:fldCharType="separate"/>
      </w:r>
      <w:r w:rsidR="0062053E" w:rsidRPr="00E433F9">
        <w:rPr>
          <w:rStyle w:val="Hyperlink"/>
          <w:rFonts w:ascii="Georgia" w:hAnsi="Georgia"/>
          <w:u w:val="none"/>
          <w:shd w:val="clear" w:color="auto" w:fill="82B0E4" w:themeFill="text2" w:themeFillTint="66"/>
        </w:rPr>
        <w:t>Special N</w:t>
      </w:r>
      <w:bookmarkStart w:id="24" w:name="_Hlt151111022"/>
      <w:r w:rsidR="0062053E" w:rsidRPr="00E433F9">
        <w:rPr>
          <w:rStyle w:val="Hyperlink"/>
          <w:rFonts w:ascii="Georgia" w:hAnsi="Georgia"/>
          <w:u w:val="none"/>
          <w:shd w:val="clear" w:color="auto" w:fill="82B0E4" w:themeFill="text2" w:themeFillTint="66"/>
        </w:rPr>
        <w:t>o</w:t>
      </w:r>
      <w:bookmarkEnd w:id="24"/>
      <w:r w:rsidR="0062053E" w:rsidRPr="00E433F9">
        <w:rPr>
          <w:rStyle w:val="Hyperlink"/>
          <w:rFonts w:ascii="Georgia" w:hAnsi="Georgia"/>
          <w:u w:val="none"/>
          <w:shd w:val="clear" w:color="auto" w:fill="82B0E4" w:themeFill="text2" w:themeFillTint="66"/>
        </w:rPr>
        <w:t>tes:</w:t>
      </w:r>
      <w:r>
        <w:rPr>
          <w:rStyle w:val="Hyperlink"/>
          <w:rFonts w:ascii="Georgia" w:hAnsi="Georgia"/>
          <w:u w:val="none"/>
          <w:shd w:val="clear" w:color="auto" w:fill="82B0E4" w:themeFill="text2" w:themeFillTint="66"/>
        </w:rPr>
        <w:fldChar w:fldCharType="end"/>
      </w:r>
      <w:r w:rsidR="0062053E" w:rsidRPr="00E433F9">
        <w:rPr>
          <w:rFonts w:ascii="Georgia" w:hAnsi="Georgia"/>
          <w:color w:val="auto"/>
          <w:shd w:val="clear" w:color="auto" w:fill="82B0E4" w:themeFill="text2" w:themeFillTint="66"/>
        </w:rPr>
        <w:t xml:space="preserve"> </w:t>
      </w:r>
      <w:hyperlink w:anchor="_top" w:history="1">
        <w:r w:rsidR="0062053E" w:rsidRPr="00E433F9">
          <w:rPr>
            <w:rFonts w:ascii="Georgia" w:hAnsi="Georgia"/>
            <w:color w:val="auto"/>
            <w:shd w:val="clear" w:color="auto" w:fill="82B0E4" w:themeFill="text2" w:themeFillTint="66"/>
          </w:rPr>
          <w:t>*</w:t>
        </w:r>
      </w:hyperlink>
      <w:r w:rsidR="00E81357" w:rsidRPr="00E433F9">
        <w:rPr>
          <w:rFonts w:ascii="Georgia" w:hAnsi="Georgia"/>
          <w:color w:val="auto"/>
        </w:rPr>
        <w:tab/>
      </w:r>
      <w:r w:rsidR="004D1733" w:rsidRPr="00E433F9">
        <w:rPr>
          <w:rFonts w:ascii="Georgia" w:hAnsi="Georgia"/>
          <w:color w:val="auto"/>
        </w:rPr>
        <w:t xml:space="preserve"> </w:t>
      </w:r>
    </w:p>
    <w:p w14:paraId="20E6623E" w14:textId="0CDC61E3" w:rsidR="00963CBD" w:rsidRPr="009D0938" w:rsidRDefault="00963CBD" w:rsidP="009158E3">
      <w:pPr>
        <w:spacing w:before="0" w:after="0" w:line="252" w:lineRule="auto"/>
        <w:ind w:left="0" w:right="0"/>
        <w:rPr>
          <w:rFonts w:ascii="Arial" w:eastAsia="Calibri" w:hAnsi="Arial" w:cs="Arial"/>
          <w:color w:val="auto"/>
          <w:kern w:val="0"/>
          <w:sz w:val="20"/>
          <w:lang w:eastAsia="en-US"/>
          <w14:ligatures w14:val="standardContextual"/>
        </w:rPr>
      </w:pPr>
      <w:r w:rsidRPr="009D0938">
        <w:rPr>
          <w:rFonts w:ascii="Arial" w:eastAsia="Calibri" w:hAnsi="Arial" w:cs="Arial"/>
          <w:color w:val="auto"/>
          <w:kern w:val="0"/>
          <w:sz w:val="20"/>
          <w:lang w:eastAsia="en-US"/>
          <w14:ligatures w14:val="standardContextual"/>
        </w:rPr>
        <w:t xml:space="preserve">This medical policy express Sentara Health Plan’s determination of medically necessity of services, and they are based upon a review of currently available clinical information. </w:t>
      </w:r>
      <w:r w:rsidR="00F22783" w:rsidRPr="009D0938">
        <w:rPr>
          <w:rFonts w:ascii="Arial" w:eastAsia="Calibri" w:hAnsi="Arial" w:cs="Arial"/>
          <w:color w:val="auto"/>
          <w:kern w:val="0"/>
          <w:sz w:val="20"/>
          <w:lang w:eastAsia="en-US"/>
          <w14:ligatures w14:val="standardContextual"/>
        </w:rPr>
        <w:t xml:space="preserve"> </w:t>
      </w:r>
      <w:r w:rsidRPr="009D0938">
        <w:rPr>
          <w:rFonts w:ascii="Arial" w:eastAsia="Calibri" w:hAnsi="Arial" w:cs="Arial"/>
          <w:color w:val="auto"/>
          <w:kern w:val="0"/>
          <w:sz w:val="20"/>
          <w:lang w:eastAsia="en-US"/>
          <w14:ligatures w14:val="standardContextual"/>
        </w:rPr>
        <w:t>These policies are used when no specific guidelines for coverage are provided by the Department of Medical Assistance Services of Virginia</w:t>
      </w:r>
      <w:r w:rsidR="00F22783" w:rsidRPr="009D0938">
        <w:rPr>
          <w:rFonts w:ascii="Arial" w:eastAsia="Calibri" w:hAnsi="Arial" w:cs="Arial"/>
          <w:color w:val="auto"/>
          <w:kern w:val="0"/>
          <w:sz w:val="20"/>
          <w:lang w:eastAsia="en-US"/>
          <w14:ligatures w14:val="standardContextual"/>
        </w:rPr>
        <w:t xml:space="preserve"> (</w:t>
      </w:r>
      <w:r w:rsidRPr="009D0938">
        <w:rPr>
          <w:rFonts w:ascii="Arial" w:eastAsia="Calibri" w:hAnsi="Arial" w:cs="Arial"/>
          <w:color w:val="auto"/>
          <w:kern w:val="0"/>
          <w:sz w:val="20"/>
          <w:lang w:eastAsia="en-US"/>
          <w14:ligatures w14:val="standardContextual"/>
        </w:rPr>
        <w:t>DMAS).  Medical Policies may be superseded by state Medicaid Plan guidelines.  Medical policies are not a substitute for clinical judgment or for any prior authorization requirements of the health plan.  These policies are not an explanation of benefits. </w:t>
      </w:r>
    </w:p>
    <w:p w14:paraId="4153A2CA" w14:textId="77777777" w:rsidR="00963CBD" w:rsidRPr="009D0938" w:rsidRDefault="00963CBD" w:rsidP="009158E3">
      <w:pPr>
        <w:spacing w:before="0" w:after="0" w:line="252" w:lineRule="auto"/>
        <w:ind w:left="0" w:right="0"/>
        <w:rPr>
          <w:rFonts w:ascii="Arial" w:eastAsia="Calibri" w:hAnsi="Arial" w:cs="Arial"/>
          <w:color w:val="auto"/>
          <w:kern w:val="0"/>
          <w:sz w:val="20"/>
          <w:lang w:eastAsia="en-US"/>
        </w:rPr>
      </w:pPr>
    </w:p>
    <w:p w14:paraId="4098F70D" w14:textId="77777777" w:rsidR="00963CBD" w:rsidRPr="009D0938" w:rsidRDefault="00963CBD" w:rsidP="009158E3">
      <w:pPr>
        <w:shd w:val="clear" w:color="auto" w:fill="FFFFFF"/>
        <w:spacing w:before="0" w:after="384"/>
        <w:ind w:left="0" w:right="0"/>
        <w:textAlignment w:val="baseline"/>
        <w:rPr>
          <w:rFonts w:ascii="Arial" w:eastAsia="Calibri" w:hAnsi="Arial" w:cs="Arial"/>
          <w:color w:val="auto"/>
          <w:kern w:val="0"/>
          <w:sz w:val="20"/>
          <w:lang w:eastAsia="en-US"/>
        </w:rPr>
      </w:pPr>
      <w:r w:rsidRPr="009D0938">
        <w:rPr>
          <w:rFonts w:ascii="Arial" w:eastAsia="Calibri" w:hAnsi="Arial" w:cs="Arial"/>
          <w:color w:val="auto"/>
          <w:kern w:val="0"/>
          <w:sz w:val="20"/>
          <w:lang w:eastAsia="en-US"/>
        </w:rPr>
        <w:t xml:space="preserve">Medical policies can be highly technical and complex and are provided here for informational purposes. These medical policies are intended for use by health care professionals. The medical policies do not constitute medical advice or medical care. Treating health care professionals are solely responsible for diagnosis, treatment and medical advice. Sentara Health Plan members should discuss the information in the medical policies with their treating health care professionals. Medical technology is constantly </w:t>
      </w:r>
      <w:proofErr w:type="gramStart"/>
      <w:r w:rsidRPr="009D0938">
        <w:rPr>
          <w:rFonts w:ascii="Arial" w:eastAsia="Calibri" w:hAnsi="Arial" w:cs="Arial"/>
          <w:color w:val="auto"/>
          <w:kern w:val="0"/>
          <w:sz w:val="20"/>
          <w:lang w:eastAsia="en-US"/>
        </w:rPr>
        <w:t>evolving</w:t>
      </w:r>
      <w:proofErr w:type="gramEnd"/>
      <w:r w:rsidRPr="009D0938">
        <w:rPr>
          <w:rFonts w:ascii="Arial" w:eastAsia="Calibri" w:hAnsi="Arial" w:cs="Arial"/>
          <w:color w:val="auto"/>
          <w:kern w:val="0"/>
          <w:sz w:val="20"/>
          <w:lang w:eastAsia="en-US"/>
        </w:rPr>
        <w:t xml:space="preserve"> and these medical policies are subject to change without notice, although Sentara Health Plan will notify providers as required in advance of changes that could have a negative impact on benefits. </w:t>
      </w:r>
    </w:p>
    <w:p w14:paraId="474A7521" w14:textId="77777777" w:rsidR="00963CBD" w:rsidRPr="009D0938" w:rsidRDefault="00963CBD" w:rsidP="009158E3">
      <w:pPr>
        <w:spacing w:before="0" w:after="0"/>
        <w:ind w:left="0" w:right="0"/>
        <w:rPr>
          <w:rFonts w:ascii="Arial" w:eastAsia="Calibri" w:hAnsi="Arial" w:cs="Arial"/>
          <w:i/>
          <w:iCs/>
          <w:color w:val="auto"/>
          <w:kern w:val="0"/>
          <w:sz w:val="20"/>
          <w:shd w:val="clear" w:color="auto" w:fill="FFFFFF"/>
          <w:lang w:eastAsia="en-US"/>
          <w14:ligatures w14:val="standardContextual"/>
        </w:rPr>
      </w:pPr>
      <w:r w:rsidRPr="009D0938">
        <w:rPr>
          <w:rFonts w:ascii="Arial" w:eastAsia="Calibri" w:hAnsi="Arial" w:cs="Arial"/>
          <w:color w:val="auto"/>
          <w:kern w:val="0"/>
          <w:sz w:val="20"/>
          <w:lang w:eastAsia="en-US"/>
          <w14:ligatures w14:val="standardContextual"/>
        </w:rPr>
        <w:t>The Early and Periodic Screening, Diagnostic and Treatment  (EPSDT) covers services, products, or procedures for children, if those items are determined to be medically necessary to “correct or ameliorate” (make better) a defect, physical or mental illness, or condition (health problem) identified through routine medical screening or examination, regardless of whether coverage for the same service or support is an optional or limited service under the state plan. Children enrolled in the FAMIS Program are not eligible for all EPSDT treatment services.  </w:t>
      </w:r>
      <w:bookmarkStart w:id="25" w:name="_Hlk151124773"/>
      <w:r w:rsidRPr="009D0938">
        <w:rPr>
          <w:rFonts w:ascii="Arial" w:eastAsia="Calibri" w:hAnsi="Arial" w:cs="Arial"/>
          <w:color w:val="auto"/>
          <w:kern w:val="0"/>
          <w:sz w:val="20"/>
          <w:lang w:eastAsia="en-US"/>
          <w14:ligatures w14:val="standardContextual"/>
        </w:rPr>
        <w:t xml:space="preserve">All requests for authorization for the services described by this medical policy will be reviewed per EPSDT guidelines. These services may be </w:t>
      </w:r>
      <w:r w:rsidRPr="009D0938">
        <w:rPr>
          <w:rFonts w:ascii="Arial" w:eastAsia="Calibri" w:hAnsi="Arial" w:cs="Arial"/>
          <w:color w:val="auto"/>
          <w:kern w:val="0"/>
          <w:sz w:val="20"/>
          <w:lang w:eastAsia="en-US"/>
          <w14:ligatures w14:val="standardContextual"/>
        </w:rPr>
        <w:lastRenderedPageBreak/>
        <w:t xml:space="preserve">authorized under individual consideration for Medicaid members under the age of 21-years if the services are judged to by medically necessary to correct or ameliorate the member’s condition. </w:t>
      </w:r>
      <w:r w:rsidRPr="009D0938">
        <w:rPr>
          <w:rFonts w:ascii="Arial" w:eastAsia="Calibri" w:hAnsi="Arial" w:cs="Arial"/>
          <w:i/>
          <w:iCs/>
          <w:color w:val="auto"/>
          <w:kern w:val="0"/>
          <w:sz w:val="20"/>
          <w:shd w:val="clear" w:color="auto" w:fill="FFFFFF"/>
          <w:lang w:eastAsia="en-US"/>
          <w14:ligatures w14:val="standardContextual"/>
        </w:rPr>
        <w:t>Department of Medical Assistance Services (DMAS), Supplement B - EPSDT (Early and Periodic Screening, Diagnosis and Treatment) Manual.</w:t>
      </w:r>
      <w:bookmarkEnd w:id="25"/>
    </w:p>
    <w:p w14:paraId="3F376DE8" w14:textId="77777777" w:rsidR="00963CBD" w:rsidRPr="00540023" w:rsidRDefault="00963CBD" w:rsidP="00963CBD">
      <w:pPr>
        <w:spacing w:before="0" w:after="0"/>
        <w:ind w:left="0" w:right="0"/>
        <w:rPr>
          <w:rFonts w:ascii="Calibri" w:eastAsia="Calibri" w:hAnsi="Calibri" w:cs="Calibri"/>
          <w:i/>
          <w:iCs/>
          <w:color w:val="auto"/>
          <w:kern w:val="0"/>
          <w:szCs w:val="24"/>
          <w:shd w:val="clear" w:color="auto" w:fill="FFFFFF"/>
          <w:lang w:eastAsia="en-US"/>
          <w14:ligatures w14:val="standardContextual"/>
        </w:rPr>
      </w:pPr>
    </w:p>
    <w:bookmarkStart w:id="26" w:name="_Keywords:"/>
    <w:bookmarkEnd w:id="26"/>
    <w:p w14:paraId="0FC55F13" w14:textId="2A1F117E" w:rsidR="0062053E" w:rsidRPr="00E433F9" w:rsidRDefault="00E433F9" w:rsidP="00F34761">
      <w:pPr>
        <w:pStyle w:val="Heading2"/>
        <w:shd w:val="clear" w:color="auto" w:fill="82B0E4" w:themeFill="text2" w:themeFillTint="66"/>
        <w:ind w:left="0" w:right="90"/>
        <w:rPr>
          <w:rStyle w:val="Hyperlink"/>
          <w:rFonts w:ascii="Georgia" w:hAnsi="Georgia"/>
          <w:color w:val="auto"/>
          <w:u w:val="none"/>
        </w:rPr>
      </w:pPr>
      <w:r w:rsidRPr="00E433F9">
        <w:rPr>
          <w:rFonts w:ascii="Georgia" w:hAnsi="Georgia"/>
        </w:rPr>
        <w:fldChar w:fldCharType="begin"/>
      </w:r>
      <w:r w:rsidRPr="00E433F9">
        <w:rPr>
          <w:rFonts w:ascii="Georgia" w:hAnsi="Georgia"/>
        </w:rPr>
        <w:instrText>HYPERLINK  \l "_top"</w:instrText>
      </w:r>
      <w:r w:rsidRPr="00E433F9">
        <w:rPr>
          <w:rFonts w:ascii="Georgia" w:hAnsi="Georgia"/>
        </w:rPr>
      </w:r>
      <w:r w:rsidRPr="00E433F9">
        <w:rPr>
          <w:rFonts w:ascii="Georgia" w:hAnsi="Georgia"/>
        </w:rPr>
        <w:fldChar w:fldCharType="separate"/>
      </w:r>
      <w:r w:rsidR="0062053E" w:rsidRPr="00E433F9">
        <w:rPr>
          <w:rStyle w:val="Hyperlink"/>
          <w:rFonts w:ascii="Georgia" w:hAnsi="Georgia"/>
          <w:u w:val="none"/>
        </w:rPr>
        <w:t>Key</w:t>
      </w:r>
      <w:bookmarkStart w:id="27" w:name="_Hlt151110991"/>
      <w:bookmarkStart w:id="28" w:name="_Hlt151110992"/>
      <w:r w:rsidR="0062053E" w:rsidRPr="00E433F9">
        <w:rPr>
          <w:rStyle w:val="Hyperlink"/>
          <w:rFonts w:ascii="Georgia" w:hAnsi="Georgia"/>
          <w:u w:val="none"/>
        </w:rPr>
        <w:t>w</w:t>
      </w:r>
      <w:bookmarkEnd w:id="27"/>
      <w:bookmarkEnd w:id="28"/>
      <w:r w:rsidR="0062053E" w:rsidRPr="00E433F9">
        <w:rPr>
          <w:rStyle w:val="Hyperlink"/>
          <w:rFonts w:ascii="Georgia" w:hAnsi="Georgia"/>
          <w:u w:val="none"/>
        </w:rPr>
        <w:t>ords:</w:t>
      </w:r>
      <w:r w:rsidRPr="00E433F9">
        <w:rPr>
          <w:rFonts w:ascii="Georgia" w:hAnsi="Georgia"/>
        </w:rPr>
        <w:fldChar w:fldCharType="end"/>
      </w:r>
    </w:p>
    <w:p w14:paraId="0D82DBA0" w14:textId="77777777" w:rsidR="009D0938" w:rsidRPr="009D0938" w:rsidRDefault="009D0938" w:rsidP="006B79E0">
      <w:pPr>
        <w:ind w:left="0"/>
        <w:rPr>
          <w:rFonts w:ascii="Arial" w:hAnsi="Arial" w:cs="Arial"/>
          <w:color w:val="auto"/>
          <w:sz w:val="20"/>
        </w:rPr>
      </w:pPr>
      <w:r w:rsidRPr="009D0938">
        <w:rPr>
          <w:rFonts w:ascii="Arial" w:hAnsi="Arial" w:cs="Arial"/>
          <w:color w:val="auto"/>
          <w:sz w:val="20"/>
        </w:rPr>
        <w:t xml:space="preserve">SHP Behavioral Health 18, BH, OHCC, Optima Health Community Care, CMHRS, Community Mental Health Resource Services, Intensive </w:t>
      </w:r>
      <w:proofErr w:type="gramStart"/>
      <w:r w:rsidRPr="009D0938">
        <w:rPr>
          <w:rFonts w:ascii="Arial" w:hAnsi="Arial" w:cs="Arial"/>
          <w:color w:val="auto"/>
          <w:sz w:val="20"/>
        </w:rPr>
        <w:t>in-Home</w:t>
      </w:r>
      <w:proofErr w:type="gramEnd"/>
      <w:r w:rsidRPr="009D0938">
        <w:rPr>
          <w:rFonts w:ascii="Arial" w:hAnsi="Arial" w:cs="Arial"/>
          <w:color w:val="auto"/>
          <w:sz w:val="20"/>
        </w:rPr>
        <w:t xml:space="preserve"> Service, IIH, emotional illness, mental illness, behavioral illness</w:t>
      </w:r>
    </w:p>
    <w:p w14:paraId="12932E2B" w14:textId="21CE96FB" w:rsidR="0062053E" w:rsidRDefault="0062053E" w:rsidP="009D0938">
      <w:pPr>
        <w:ind w:left="0"/>
        <w:rPr>
          <w:color w:val="0070C0"/>
        </w:rPr>
      </w:pPr>
    </w:p>
    <w:p w14:paraId="0CC71ABA" w14:textId="77777777" w:rsidR="009D0938" w:rsidRPr="009D0938" w:rsidRDefault="009D0938" w:rsidP="009D0938"/>
    <w:p w14:paraId="6D203823" w14:textId="77777777" w:rsidR="009D0938" w:rsidRPr="009D0938" w:rsidRDefault="009D0938" w:rsidP="009D0938"/>
    <w:p w14:paraId="658328DF" w14:textId="77777777" w:rsidR="009D0938" w:rsidRPr="009D0938" w:rsidRDefault="009D0938" w:rsidP="009D0938"/>
    <w:p w14:paraId="3DE38756" w14:textId="77777777" w:rsidR="009D0938" w:rsidRPr="009D0938" w:rsidRDefault="009D0938" w:rsidP="009D0938"/>
    <w:p w14:paraId="0FE76964" w14:textId="77777777" w:rsidR="009D0938" w:rsidRPr="009D0938" w:rsidRDefault="009D0938" w:rsidP="009D0938"/>
    <w:p w14:paraId="3E871C32" w14:textId="77777777" w:rsidR="009D0938" w:rsidRDefault="009D0938" w:rsidP="009D0938">
      <w:pPr>
        <w:rPr>
          <w:color w:val="0070C0"/>
        </w:rPr>
      </w:pPr>
    </w:p>
    <w:p w14:paraId="311139BF" w14:textId="77777777" w:rsidR="009D0938" w:rsidRPr="009D0938" w:rsidRDefault="009D0938" w:rsidP="009D0938"/>
    <w:sectPr w:rsidR="009D0938" w:rsidRPr="009D0938" w:rsidSect="006B79E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B8BE" w14:textId="77777777" w:rsidR="00543D84" w:rsidRDefault="00543D84" w:rsidP="00A66B18">
      <w:pPr>
        <w:spacing w:before="0" w:after="0"/>
      </w:pPr>
      <w:r>
        <w:separator/>
      </w:r>
    </w:p>
  </w:endnote>
  <w:endnote w:type="continuationSeparator" w:id="0">
    <w:p w14:paraId="11F3F7DA" w14:textId="77777777" w:rsidR="00543D84" w:rsidRDefault="00543D84" w:rsidP="00A66B18">
      <w:pPr>
        <w:spacing w:before="0" w:after="0"/>
      </w:pPr>
      <w:r>
        <w:continuationSeparator/>
      </w:r>
    </w:p>
  </w:endnote>
  <w:endnote w:type="continuationNotice" w:id="1">
    <w:p w14:paraId="3826EE82" w14:textId="77777777" w:rsidR="00543D84" w:rsidRDefault="00543D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GGothicE">
    <w:altName w:val="HGｺﾞｼｯｸ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B580" w14:textId="174A789E" w:rsidR="00041B97" w:rsidRPr="00041B97" w:rsidRDefault="009D0938" w:rsidP="00BA57BF">
    <w:pPr>
      <w:pStyle w:val="Footer"/>
      <w:tabs>
        <w:tab w:val="clear" w:pos="9360"/>
        <w:tab w:val="right" w:pos="10800"/>
      </w:tabs>
      <w:ind w:left="0" w:right="0"/>
      <w:rPr>
        <w:rFonts w:ascii="Georgia" w:hAnsi="Georgia"/>
      </w:rPr>
    </w:pPr>
    <w:r>
      <w:rPr>
        <w:rFonts w:ascii="Georgia" w:hAnsi="Georgia"/>
      </w:rPr>
      <w:t>Behavioral Health 18</w:t>
    </w:r>
    <w:sdt>
      <w:sdtPr>
        <w:rPr>
          <w:rFonts w:ascii="Georgia" w:hAnsi="Georgia"/>
        </w:rPr>
        <w:id w:val="572779521"/>
        <w:docPartObj>
          <w:docPartGallery w:val="Page Numbers (Bottom of Page)"/>
          <w:docPartUnique/>
        </w:docPartObj>
      </w:sdtPr>
      <w:sdtEndPr/>
      <w:sdtContent>
        <w:sdt>
          <w:sdtPr>
            <w:rPr>
              <w:rFonts w:ascii="Georgia" w:hAnsi="Georgia"/>
            </w:rPr>
            <w:id w:val="-1769616900"/>
            <w:docPartObj>
              <w:docPartGallery w:val="Page Numbers (Top of Page)"/>
              <w:docPartUnique/>
            </w:docPartObj>
          </w:sdtPr>
          <w:sdtEndPr/>
          <w:sdtContent>
            <w:r w:rsidR="00BA57BF">
              <w:rPr>
                <w:rFonts w:ascii="Georgia" w:hAnsi="Georgia"/>
              </w:rPr>
              <w:tab/>
            </w:r>
            <w:r w:rsidR="00BA57BF">
              <w:rPr>
                <w:rFonts w:ascii="Georgia" w:hAnsi="Georgia"/>
              </w:rPr>
              <w:tab/>
            </w:r>
            <w:r w:rsidR="00041B97" w:rsidRPr="00041B97">
              <w:rPr>
                <w:rFonts w:ascii="Georgia" w:hAnsi="Georgia"/>
              </w:rPr>
              <w:t xml:space="preserve">Page </w:t>
            </w:r>
            <w:r w:rsidR="00041B97">
              <w:rPr>
                <w:rFonts w:ascii="Georgia" w:hAnsi="Georgia"/>
              </w:rPr>
              <w:t xml:space="preserve"> </w:t>
            </w:r>
            <w:r w:rsidR="00041B97" w:rsidRPr="00041B97">
              <w:rPr>
                <w:rFonts w:ascii="Georgia" w:hAnsi="Georgia"/>
                <w:b/>
                <w:bCs/>
                <w:szCs w:val="24"/>
              </w:rPr>
              <w:fldChar w:fldCharType="begin"/>
            </w:r>
            <w:r w:rsidR="00041B97" w:rsidRPr="00041B97">
              <w:rPr>
                <w:rFonts w:ascii="Georgia" w:hAnsi="Georgia"/>
                <w:b/>
                <w:bCs/>
              </w:rPr>
              <w:instrText xml:space="preserve"> PAGE </w:instrText>
            </w:r>
            <w:r w:rsidR="00041B97" w:rsidRPr="00041B97">
              <w:rPr>
                <w:rFonts w:ascii="Georgia" w:hAnsi="Georgia"/>
                <w:b/>
                <w:bCs/>
                <w:szCs w:val="24"/>
              </w:rPr>
              <w:fldChar w:fldCharType="separate"/>
            </w:r>
            <w:r w:rsidR="00041B97" w:rsidRPr="00041B97">
              <w:rPr>
                <w:rFonts w:ascii="Georgia" w:hAnsi="Georgia"/>
                <w:b/>
                <w:bCs/>
                <w:noProof/>
              </w:rPr>
              <w:t>2</w:t>
            </w:r>
            <w:r w:rsidR="00041B97" w:rsidRPr="00041B97">
              <w:rPr>
                <w:rFonts w:ascii="Georgia" w:hAnsi="Georgia"/>
                <w:b/>
                <w:bCs/>
                <w:szCs w:val="24"/>
              </w:rPr>
              <w:fldChar w:fldCharType="end"/>
            </w:r>
            <w:r w:rsidR="00041B97" w:rsidRPr="00041B97">
              <w:rPr>
                <w:rFonts w:ascii="Georgia" w:hAnsi="Georgia"/>
              </w:rPr>
              <w:t xml:space="preserve"> of </w:t>
            </w:r>
            <w:r w:rsidR="00041B97" w:rsidRPr="00041B97">
              <w:rPr>
                <w:rFonts w:ascii="Georgia" w:hAnsi="Georgia"/>
                <w:b/>
                <w:bCs/>
                <w:szCs w:val="24"/>
              </w:rPr>
              <w:fldChar w:fldCharType="begin"/>
            </w:r>
            <w:r w:rsidR="00041B97" w:rsidRPr="00041B97">
              <w:rPr>
                <w:rFonts w:ascii="Georgia" w:hAnsi="Georgia"/>
                <w:b/>
                <w:bCs/>
              </w:rPr>
              <w:instrText xml:space="preserve"> NUMPAGES  </w:instrText>
            </w:r>
            <w:r w:rsidR="00041B97" w:rsidRPr="00041B97">
              <w:rPr>
                <w:rFonts w:ascii="Georgia" w:hAnsi="Georgia"/>
                <w:b/>
                <w:bCs/>
                <w:szCs w:val="24"/>
              </w:rPr>
              <w:fldChar w:fldCharType="separate"/>
            </w:r>
            <w:r w:rsidR="00041B97" w:rsidRPr="00041B97">
              <w:rPr>
                <w:rFonts w:ascii="Georgia" w:hAnsi="Georgia"/>
                <w:b/>
                <w:bCs/>
                <w:noProof/>
              </w:rPr>
              <w:t>2</w:t>
            </w:r>
            <w:r w:rsidR="00041B97" w:rsidRPr="00041B97">
              <w:rPr>
                <w:rFonts w:ascii="Georgia" w:hAnsi="Georgia"/>
                <w:b/>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E88CC" w14:textId="77777777" w:rsidR="00543D84" w:rsidRDefault="00543D84" w:rsidP="00A66B18">
      <w:pPr>
        <w:spacing w:before="0" w:after="0"/>
      </w:pPr>
      <w:r>
        <w:separator/>
      </w:r>
    </w:p>
  </w:footnote>
  <w:footnote w:type="continuationSeparator" w:id="0">
    <w:p w14:paraId="6EA8F057" w14:textId="77777777" w:rsidR="00543D84" w:rsidRDefault="00543D84" w:rsidP="00A66B18">
      <w:pPr>
        <w:spacing w:before="0" w:after="0"/>
      </w:pPr>
      <w:r>
        <w:continuationSeparator/>
      </w:r>
    </w:p>
  </w:footnote>
  <w:footnote w:type="continuationNotice" w:id="1">
    <w:p w14:paraId="7B084052" w14:textId="77777777" w:rsidR="00543D84" w:rsidRDefault="00543D8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635"/>
    <w:multiLevelType w:val="hybridMultilevel"/>
    <w:tmpl w:val="AB48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E1198"/>
    <w:multiLevelType w:val="hybridMultilevel"/>
    <w:tmpl w:val="6AF82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5B684A"/>
    <w:multiLevelType w:val="hybridMultilevel"/>
    <w:tmpl w:val="79D4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570C"/>
    <w:multiLevelType w:val="hybridMultilevel"/>
    <w:tmpl w:val="D5BE549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154439"/>
    <w:multiLevelType w:val="hybridMultilevel"/>
    <w:tmpl w:val="497E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251CD"/>
    <w:multiLevelType w:val="hybridMultilevel"/>
    <w:tmpl w:val="E63628EA"/>
    <w:lvl w:ilvl="0" w:tplc="55ECC130">
      <w:numFmt w:val="bullet"/>
      <w:lvlText w:val="-"/>
      <w:lvlJc w:val="left"/>
      <w:pPr>
        <w:ind w:left="1080" w:hanging="360"/>
      </w:pPr>
      <w:rPr>
        <w:rFonts w:ascii="Franklin Gothic Book" w:eastAsiaTheme="minorHAnsi" w:hAnsi="Franklin Gothic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7303B"/>
    <w:multiLevelType w:val="hybridMultilevel"/>
    <w:tmpl w:val="C0E812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2576D"/>
    <w:multiLevelType w:val="hybridMultilevel"/>
    <w:tmpl w:val="784C816C"/>
    <w:lvl w:ilvl="0" w:tplc="55ECC130">
      <w:numFmt w:val="bullet"/>
      <w:lvlText w:val="-"/>
      <w:lvlJc w:val="left"/>
      <w:pPr>
        <w:ind w:left="1080" w:hanging="360"/>
      </w:pPr>
      <w:rPr>
        <w:rFonts w:ascii="Franklin Gothic Book" w:eastAsiaTheme="minorHAnsi" w:hAnsi="Franklin Gothic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E06BE"/>
    <w:multiLevelType w:val="hybridMultilevel"/>
    <w:tmpl w:val="74AA015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AB10811"/>
    <w:multiLevelType w:val="hybridMultilevel"/>
    <w:tmpl w:val="6CF46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833136"/>
    <w:multiLevelType w:val="hybridMultilevel"/>
    <w:tmpl w:val="EFB0C7A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03F21F5"/>
    <w:multiLevelType w:val="hybridMultilevel"/>
    <w:tmpl w:val="7E84FC20"/>
    <w:lvl w:ilvl="0" w:tplc="55ECC130">
      <w:numFmt w:val="bullet"/>
      <w:lvlText w:val="-"/>
      <w:lvlJc w:val="left"/>
      <w:pPr>
        <w:ind w:left="1080" w:hanging="360"/>
      </w:pPr>
      <w:rPr>
        <w:rFonts w:ascii="Franklin Gothic Book" w:eastAsiaTheme="minorHAnsi" w:hAnsi="Franklin Gothic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3066C8"/>
    <w:multiLevelType w:val="hybridMultilevel"/>
    <w:tmpl w:val="9CB45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5D0D9A"/>
    <w:multiLevelType w:val="hybridMultilevel"/>
    <w:tmpl w:val="F198D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8217F9"/>
    <w:multiLevelType w:val="hybridMultilevel"/>
    <w:tmpl w:val="C644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22D9F"/>
    <w:multiLevelType w:val="hybridMultilevel"/>
    <w:tmpl w:val="E6E43A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55239"/>
    <w:multiLevelType w:val="hybridMultilevel"/>
    <w:tmpl w:val="499E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39A0"/>
    <w:multiLevelType w:val="hybridMultilevel"/>
    <w:tmpl w:val="6C8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80557"/>
    <w:multiLevelType w:val="hybridMultilevel"/>
    <w:tmpl w:val="FE8A8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986960"/>
    <w:multiLevelType w:val="hybridMultilevel"/>
    <w:tmpl w:val="20E2E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565B2"/>
    <w:multiLevelType w:val="hybridMultilevel"/>
    <w:tmpl w:val="E8CA4778"/>
    <w:lvl w:ilvl="0" w:tplc="55ECC130">
      <w:numFmt w:val="bullet"/>
      <w:lvlText w:val="-"/>
      <w:lvlJc w:val="left"/>
      <w:pPr>
        <w:ind w:left="1440" w:hanging="360"/>
      </w:pPr>
      <w:rPr>
        <w:rFonts w:ascii="Franklin Gothic Book" w:eastAsiaTheme="minorHAnsi" w:hAnsi="Franklin Gothic Book"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CB1874"/>
    <w:multiLevelType w:val="hybridMultilevel"/>
    <w:tmpl w:val="D4CC54C6"/>
    <w:lvl w:ilvl="0" w:tplc="55ECC130">
      <w:numFmt w:val="bullet"/>
      <w:lvlText w:val="-"/>
      <w:lvlJc w:val="left"/>
      <w:pPr>
        <w:ind w:left="1080" w:hanging="360"/>
      </w:pPr>
      <w:rPr>
        <w:rFonts w:ascii="Franklin Gothic Book" w:eastAsiaTheme="minorHAnsi" w:hAnsi="Franklin Gothic Book"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2D22FE"/>
    <w:multiLevelType w:val="hybridMultilevel"/>
    <w:tmpl w:val="6BA2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27648"/>
    <w:multiLevelType w:val="hybridMultilevel"/>
    <w:tmpl w:val="762C130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9FB1D47"/>
    <w:multiLevelType w:val="hybridMultilevel"/>
    <w:tmpl w:val="CE9A8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3C4946"/>
    <w:multiLevelType w:val="hybridMultilevel"/>
    <w:tmpl w:val="9C2A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8583F"/>
    <w:multiLevelType w:val="hybridMultilevel"/>
    <w:tmpl w:val="32B0DC7C"/>
    <w:lvl w:ilvl="0" w:tplc="E56E58DA">
      <w:start w:val="3"/>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397621"/>
    <w:multiLevelType w:val="hybridMultilevel"/>
    <w:tmpl w:val="47CE0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85840"/>
    <w:multiLevelType w:val="hybridMultilevel"/>
    <w:tmpl w:val="AA9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113775">
    <w:abstractNumId w:val="15"/>
  </w:num>
  <w:num w:numId="2" w16cid:durableId="1866283509">
    <w:abstractNumId w:val="21"/>
  </w:num>
  <w:num w:numId="3" w16cid:durableId="723021032">
    <w:abstractNumId w:val="17"/>
  </w:num>
  <w:num w:numId="4" w16cid:durableId="1542087447">
    <w:abstractNumId w:val="20"/>
  </w:num>
  <w:num w:numId="5" w16cid:durableId="1791630298">
    <w:abstractNumId w:val="28"/>
  </w:num>
  <w:num w:numId="6" w16cid:durableId="1896895431">
    <w:abstractNumId w:val="14"/>
  </w:num>
  <w:num w:numId="7" w16cid:durableId="612784604">
    <w:abstractNumId w:val="6"/>
  </w:num>
  <w:num w:numId="8" w16cid:durableId="1378122334">
    <w:abstractNumId w:val="9"/>
  </w:num>
  <w:num w:numId="9" w16cid:durableId="585264426">
    <w:abstractNumId w:val="13"/>
  </w:num>
  <w:num w:numId="10" w16cid:durableId="752704477">
    <w:abstractNumId w:val="10"/>
  </w:num>
  <w:num w:numId="11" w16cid:durableId="2020809500">
    <w:abstractNumId w:val="23"/>
  </w:num>
  <w:num w:numId="12" w16cid:durableId="1181700152">
    <w:abstractNumId w:val="8"/>
  </w:num>
  <w:num w:numId="13" w16cid:durableId="500316556">
    <w:abstractNumId w:val="0"/>
  </w:num>
  <w:num w:numId="14" w16cid:durableId="1406223643">
    <w:abstractNumId w:val="22"/>
  </w:num>
  <w:num w:numId="15" w16cid:durableId="237640713">
    <w:abstractNumId w:val="16"/>
  </w:num>
  <w:num w:numId="16" w16cid:durableId="485246676">
    <w:abstractNumId w:val="3"/>
  </w:num>
  <w:num w:numId="17" w16cid:durableId="478109263">
    <w:abstractNumId w:val="26"/>
  </w:num>
  <w:num w:numId="18" w16cid:durableId="1506507374">
    <w:abstractNumId w:val="4"/>
  </w:num>
  <w:num w:numId="19" w16cid:durableId="1111976396">
    <w:abstractNumId w:val="25"/>
  </w:num>
  <w:num w:numId="20" w16cid:durableId="1307248543">
    <w:abstractNumId w:val="1"/>
  </w:num>
  <w:num w:numId="21" w16cid:durableId="2027511758">
    <w:abstractNumId w:val="19"/>
  </w:num>
  <w:num w:numId="22" w16cid:durableId="1685932262">
    <w:abstractNumId w:val="27"/>
  </w:num>
  <w:num w:numId="23" w16cid:durableId="729889350">
    <w:abstractNumId w:val="2"/>
  </w:num>
  <w:num w:numId="24" w16cid:durableId="1157571713">
    <w:abstractNumId w:val="11"/>
  </w:num>
  <w:num w:numId="25" w16cid:durableId="787313875">
    <w:abstractNumId w:val="7"/>
  </w:num>
  <w:num w:numId="26" w16cid:durableId="626280452">
    <w:abstractNumId w:val="5"/>
  </w:num>
  <w:num w:numId="27" w16cid:durableId="1987077958">
    <w:abstractNumId w:val="12"/>
  </w:num>
  <w:num w:numId="28" w16cid:durableId="697394170">
    <w:abstractNumId w:val="18"/>
  </w:num>
  <w:num w:numId="29" w16cid:durableId="9059945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9C"/>
    <w:rsid w:val="00041B97"/>
    <w:rsid w:val="00083BAA"/>
    <w:rsid w:val="00095B54"/>
    <w:rsid w:val="00096F79"/>
    <w:rsid w:val="000D233F"/>
    <w:rsid w:val="000E01D3"/>
    <w:rsid w:val="00106030"/>
    <w:rsid w:val="0010680C"/>
    <w:rsid w:val="00152B0B"/>
    <w:rsid w:val="00155636"/>
    <w:rsid w:val="00174F65"/>
    <w:rsid w:val="001766D6"/>
    <w:rsid w:val="00185438"/>
    <w:rsid w:val="00185709"/>
    <w:rsid w:val="00192419"/>
    <w:rsid w:val="001B27FC"/>
    <w:rsid w:val="001C270D"/>
    <w:rsid w:val="001D0451"/>
    <w:rsid w:val="001E2320"/>
    <w:rsid w:val="001E5977"/>
    <w:rsid w:val="00200247"/>
    <w:rsid w:val="00207D9C"/>
    <w:rsid w:val="00214E28"/>
    <w:rsid w:val="00220470"/>
    <w:rsid w:val="0024636E"/>
    <w:rsid w:val="00260696"/>
    <w:rsid w:val="002B4267"/>
    <w:rsid w:val="002C3DCE"/>
    <w:rsid w:val="003174AE"/>
    <w:rsid w:val="00321CAE"/>
    <w:rsid w:val="00331061"/>
    <w:rsid w:val="00347FFA"/>
    <w:rsid w:val="00352B81"/>
    <w:rsid w:val="003607D9"/>
    <w:rsid w:val="00394757"/>
    <w:rsid w:val="003A0150"/>
    <w:rsid w:val="003A154F"/>
    <w:rsid w:val="003A6DFC"/>
    <w:rsid w:val="003E24DF"/>
    <w:rsid w:val="00411D69"/>
    <w:rsid w:val="0041428F"/>
    <w:rsid w:val="0043212F"/>
    <w:rsid w:val="004937A7"/>
    <w:rsid w:val="004A2B0D"/>
    <w:rsid w:val="004B69D2"/>
    <w:rsid w:val="004C1815"/>
    <w:rsid w:val="004D1733"/>
    <w:rsid w:val="004E5E9A"/>
    <w:rsid w:val="004F13E6"/>
    <w:rsid w:val="00505ECA"/>
    <w:rsid w:val="00511B23"/>
    <w:rsid w:val="00527753"/>
    <w:rsid w:val="00540023"/>
    <w:rsid w:val="00543D84"/>
    <w:rsid w:val="00597884"/>
    <w:rsid w:val="005C2210"/>
    <w:rsid w:val="005D1B5E"/>
    <w:rsid w:val="0060768A"/>
    <w:rsid w:val="00615018"/>
    <w:rsid w:val="0062053E"/>
    <w:rsid w:val="0062123A"/>
    <w:rsid w:val="00646E75"/>
    <w:rsid w:val="0066733B"/>
    <w:rsid w:val="00694C82"/>
    <w:rsid w:val="006B0543"/>
    <w:rsid w:val="006B79E0"/>
    <w:rsid w:val="006C0C8B"/>
    <w:rsid w:val="006C13C3"/>
    <w:rsid w:val="006C3334"/>
    <w:rsid w:val="006F6F10"/>
    <w:rsid w:val="00705FFF"/>
    <w:rsid w:val="00721ACF"/>
    <w:rsid w:val="00724617"/>
    <w:rsid w:val="0073781C"/>
    <w:rsid w:val="007418EE"/>
    <w:rsid w:val="00751300"/>
    <w:rsid w:val="00752CAD"/>
    <w:rsid w:val="00777B22"/>
    <w:rsid w:val="00783E79"/>
    <w:rsid w:val="00785D8A"/>
    <w:rsid w:val="007A6717"/>
    <w:rsid w:val="007B5AE8"/>
    <w:rsid w:val="007F277A"/>
    <w:rsid w:val="007F5192"/>
    <w:rsid w:val="0080085D"/>
    <w:rsid w:val="0081280A"/>
    <w:rsid w:val="008153AA"/>
    <w:rsid w:val="00831721"/>
    <w:rsid w:val="008505C0"/>
    <w:rsid w:val="00862A06"/>
    <w:rsid w:val="008D2855"/>
    <w:rsid w:val="008E1996"/>
    <w:rsid w:val="0091378C"/>
    <w:rsid w:val="009158E3"/>
    <w:rsid w:val="00944019"/>
    <w:rsid w:val="0096055A"/>
    <w:rsid w:val="00963CBD"/>
    <w:rsid w:val="00980CCF"/>
    <w:rsid w:val="009A248E"/>
    <w:rsid w:val="009B1398"/>
    <w:rsid w:val="009C5A9C"/>
    <w:rsid w:val="009D0938"/>
    <w:rsid w:val="009E1029"/>
    <w:rsid w:val="009F1EDD"/>
    <w:rsid w:val="00A209BE"/>
    <w:rsid w:val="00A26FE7"/>
    <w:rsid w:val="00A36AEE"/>
    <w:rsid w:val="00A576BA"/>
    <w:rsid w:val="00A66B18"/>
    <w:rsid w:val="00A6783B"/>
    <w:rsid w:val="00A81E09"/>
    <w:rsid w:val="00A8707B"/>
    <w:rsid w:val="00A96CF8"/>
    <w:rsid w:val="00AA089B"/>
    <w:rsid w:val="00AB3B76"/>
    <w:rsid w:val="00AB5D4F"/>
    <w:rsid w:val="00AD16E8"/>
    <w:rsid w:val="00AD482A"/>
    <w:rsid w:val="00AD7D5E"/>
    <w:rsid w:val="00AE1388"/>
    <w:rsid w:val="00AE6E93"/>
    <w:rsid w:val="00AF3982"/>
    <w:rsid w:val="00B0391E"/>
    <w:rsid w:val="00B30983"/>
    <w:rsid w:val="00B36F14"/>
    <w:rsid w:val="00B50294"/>
    <w:rsid w:val="00B57D6E"/>
    <w:rsid w:val="00B62608"/>
    <w:rsid w:val="00B66191"/>
    <w:rsid w:val="00B67668"/>
    <w:rsid w:val="00B9212D"/>
    <w:rsid w:val="00B93312"/>
    <w:rsid w:val="00B97744"/>
    <w:rsid w:val="00BA57BF"/>
    <w:rsid w:val="00BD07C5"/>
    <w:rsid w:val="00BE35F7"/>
    <w:rsid w:val="00BE6B20"/>
    <w:rsid w:val="00C01D21"/>
    <w:rsid w:val="00C5079B"/>
    <w:rsid w:val="00C60DC7"/>
    <w:rsid w:val="00C701F7"/>
    <w:rsid w:val="00C70786"/>
    <w:rsid w:val="00C910A6"/>
    <w:rsid w:val="00C95DDF"/>
    <w:rsid w:val="00CA7569"/>
    <w:rsid w:val="00CE70CE"/>
    <w:rsid w:val="00D02FE1"/>
    <w:rsid w:val="00D10958"/>
    <w:rsid w:val="00D66593"/>
    <w:rsid w:val="00D670B8"/>
    <w:rsid w:val="00D805B3"/>
    <w:rsid w:val="00D962FE"/>
    <w:rsid w:val="00DA2C6D"/>
    <w:rsid w:val="00DB0F95"/>
    <w:rsid w:val="00DB4CD1"/>
    <w:rsid w:val="00DE0E77"/>
    <w:rsid w:val="00DE6DA2"/>
    <w:rsid w:val="00DF2D30"/>
    <w:rsid w:val="00E2512B"/>
    <w:rsid w:val="00E33466"/>
    <w:rsid w:val="00E433F9"/>
    <w:rsid w:val="00E4786A"/>
    <w:rsid w:val="00E55D74"/>
    <w:rsid w:val="00E6540C"/>
    <w:rsid w:val="00E70C64"/>
    <w:rsid w:val="00E81357"/>
    <w:rsid w:val="00E81E2A"/>
    <w:rsid w:val="00E83269"/>
    <w:rsid w:val="00EA08E5"/>
    <w:rsid w:val="00EA4FB4"/>
    <w:rsid w:val="00EB0C4C"/>
    <w:rsid w:val="00EB126E"/>
    <w:rsid w:val="00EB7B38"/>
    <w:rsid w:val="00EC20F6"/>
    <w:rsid w:val="00ED4592"/>
    <w:rsid w:val="00EE0952"/>
    <w:rsid w:val="00F0675E"/>
    <w:rsid w:val="00F07DC5"/>
    <w:rsid w:val="00F10EA7"/>
    <w:rsid w:val="00F22783"/>
    <w:rsid w:val="00F34761"/>
    <w:rsid w:val="00F559AE"/>
    <w:rsid w:val="00FA2F18"/>
    <w:rsid w:val="00FC6010"/>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2B14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4937A7"/>
    <w:rPr>
      <w:color w:val="000000" w:themeColor="hyperlink"/>
      <w:u w:val="single"/>
    </w:rPr>
  </w:style>
  <w:style w:type="character" w:styleId="UnresolvedMention">
    <w:name w:val="Unresolved Mention"/>
    <w:basedOn w:val="DefaultParagraphFont"/>
    <w:uiPriority w:val="99"/>
    <w:semiHidden/>
    <w:rsid w:val="004937A7"/>
    <w:rPr>
      <w:color w:val="605E5C"/>
      <w:shd w:val="clear" w:color="auto" w:fill="E1DFDD"/>
    </w:rPr>
  </w:style>
  <w:style w:type="paragraph" w:styleId="ListParagraph">
    <w:name w:val="List Paragraph"/>
    <w:basedOn w:val="Normal"/>
    <w:uiPriority w:val="34"/>
    <w:qFormat/>
    <w:rsid w:val="00F559AE"/>
    <w:pPr>
      <w:contextualSpacing/>
    </w:pPr>
  </w:style>
  <w:style w:type="character" w:styleId="FollowedHyperlink">
    <w:name w:val="FollowedHyperlink"/>
    <w:basedOn w:val="DefaultParagraphFont"/>
    <w:uiPriority w:val="99"/>
    <w:semiHidden/>
    <w:unhideWhenUsed/>
    <w:rsid w:val="00F559AE"/>
    <w:rPr>
      <w:color w:val="000000" w:themeColor="followedHyperlink"/>
      <w:u w:val="single"/>
    </w:rPr>
  </w:style>
  <w:style w:type="table" w:styleId="TableGrid">
    <w:name w:val="Table Grid"/>
    <w:basedOn w:val="TableNormal"/>
    <w:uiPriority w:val="39"/>
    <w:rsid w:val="0062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7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medicaid.dmas.virginia.gov/sites/default/files/2023-07/MHS%20-%20Appendix%20C%20%28updated%2011.22.21%29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amedicaid.dmas.virginia.gov/sites/default/files/2023-12/MHS%20-%20Appendix%20A%20%28updated%2012.29.23%2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medicaid.dmas.virginia.gov/sites/default/files/2023-07/MHS%20-%20Appendix%20H%20%28updated%206.14.23%29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landry\AppData\Local\Microsoft\Office\16.0\DTS\en-US%7bED7111CF-35DA-4248-B809-2B916EC76595%7d\%7bDA534B48-F75C-46DD-B90C-5FFB29CC38CC%7dtf56348247_win32.dotx"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000000"/>
      </a:hlink>
      <a:folHlink>
        <a:srgbClr val="0000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DBF50529-E337-4954-A29F-F6FE2A81A8D9}">
  <ds:schemaRefs>
    <ds:schemaRef ds:uri="http://schemas.openxmlformats.org/officeDocument/2006/bibliography"/>
  </ds:schemaRefs>
</ds:datastoreItem>
</file>

<file path=customXml/itemProps3.xml><?xml version="1.0" encoding="utf-8"?>
<ds:datastoreItem xmlns:ds="http://schemas.openxmlformats.org/officeDocument/2006/customXml" ds:itemID="{C3B74C0E-7993-40E1-930F-CF78C434EB62}">
  <ds:schemaRefs>
    <ds:schemaRef ds:uri="71af3243-3dd4-4a8d-8c0d-dd76da1f02a5"/>
    <ds:schemaRef ds:uri="http://purl.org/dc/elements/1.1/"/>
    <ds:schemaRef ds:uri="230e9df3-be65-4c73-a93b-d1236ebd677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16c05727-aa75-4e4a-9b5f-8a80a1165891"/>
    <ds:schemaRef ds:uri="http://schemas.microsoft.com/sharepoint/v3"/>
    <ds:schemaRef ds:uri="http://purl.org/dc/dcmitype/"/>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{DA534B48-F75C-46DD-B90C-5FFB29CC38CC}tf56348247_win32</Template>
  <TotalTime>0</TotalTime>
  <Pages>7</Pages>
  <Words>3260</Words>
  <Characters>19783</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DME 128</vt:lpstr>
    </vt:vector>
  </TitlesOfParts>
  <Company/>
  <LinksUpToDate>false</LinksUpToDate>
  <CharactersWithSpaces>22998</CharactersWithSpaces>
  <SharedDoc>false</SharedDoc>
  <HLinks>
    <vt:vector size="108" baseType="variant">
      <vt:variant>
        <vt:i4>262192</vt:i4>
      </vt:variant>
      <vt:variant>
        <vt:i4>27</vt:i4>
      </vt:variant>
      <vt:variant>
        <vt:i4>0</vt:i4>
      </vt:variant>
      <vt:variant>
        <vt:i4>5</vt:i4>
      </vt:variant>
      <vt:variant>
        <vt:lpwstr/>
      </vt:variant>
      <vt:variant>
        <vt:lpwstr>_top</vt:lpwstr>
      </vt:variant>
      <vt:variant>
        <vt:i4>262192</vt:i4>
      </vt:variant>
      <vt:variant>
        <vt:i4>24</vt:i4>
      </vt:variant>
      <vt:variant>
        <vt:i4>0</vt:i4>
      </vt:variant>
      <vt:variant>
        <vt:i4>5</vt:i4>
      </vt:variant>
      <vt:variant>
        <vt:lpwstr/>
      </vt:variant>
      <vt:variant>
        <vt:lpwstr>_top</vt:lpwstr>
      </vt:variant>
      <vt:variant>
        <vt:i4>262192</vt:i4>
      </vt:variant>
      <vt:variant>
        <vt:i4>21</vt:i4>
      </vt:variant>
      <vt:variant>
        <vt:i4>0</vt:i4>
      </vt:variant>
      <vt:variant>
        <vt:i4>5</vt:i4>
      </vt:variant>
      <vt:variant>
        <vt:lpwstr/>
      </vt:variant>
      <vt:variant>
        <vt:lpwstr>_top</vt:lpwstr>
      </vt: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262192</vt:i4>
      </vt:variant>
      <vt:variant>
        <vt:i4>12</vt:i4>
      </vt:variant>
      <vt:variant>
        <vt:i4>0</vt:i4>
      </vt:variant>
      <vt:variant>
        <vt:i4>5</vt:i4>
      </vt:variant>
      <vt:variant>
        <vt:lpwstr/>
      </vt:variant>
      <vt:variant>
        <vt:lpwstr>_top</vt:lpwstr>
      </vt:variant>
      <vt:variant>
        <vt:i4>262192</vt:i4>
      </vt:variant>
      <vt:variant>
        <vt:i4>9</vt:i4>
      </vt:variant>
      <vt:variant>
        <vt:i4>0</vt:i4>
      </vt:variant>
      <vt:variant>
        <vt:i4>5</vt:i4>
      </vt:variant>
      <vt:variant>
        <vt:lpwstr/>
      </vt:variant>
      <vt:variant>
        <vt:lpwstr>_top</vt:lpwstr>
      </vt:variant>
      <vt:variant>
        <vt:i4>262192</vt:i4>
      </vt:variant>
      <vt:variant>
        <vt:i4>6</vt:i4>
      </vt:variant>
      <vt:variant>
        <vt:i4>0</vt:i4>
      </vt:variant>
      <vt:variant>
        <vt:i4>5</vt:i4>
      </vt:variant>
      <vt:variant>
        <vt:lpwstr/>
      </vt:variant>
      <vt:variant>
        <vt:lpwstr>_top</vt:lpwstr>
      </vt:variant>
      <vt:variant>
        <vt:i4>262192</vt:i4>
      </vt:variant>
      <vt:variant>
        <vt:i4>3</vt:i4>
      </vt:variant>
      <vt:variant>
        <vt:i4>0</vt:i4>
      </vt:variant>
      <vt:variant>
        <vt:i4>5</vt:i4>
      </vt:variant>
      <vt:variant>
        <vt:lpwstr/>
      </vt:variant>
      <vt:variant>
        <vt:lpwstr>_top</vt:lpwstr>
      </vt:variant>
      <vt:variant>
        <vt:i4>2424898</vt:i4>
      </vt:variant>
      <vt:variant>
        <vt:i4>0</vt:i4>
      </vt:variant>
      <vt:variant>
        <vt:i4>0</vt:i4>
      </vt:variant>
      <vt:variant>
        <vt:i4>5</vt:i4>
      </vt:variant>
      <vt:variant>
        <vt:lpwstr/>
      </vt:variant>
      <vt:variant>
        <vt:lpwstr>_Special_Notes:_*</vt:lpwstr>
      </vt:variant>
      <vt:variant>
        <vt:i4>2293836</vt:i4>
      </vt:variant>
      <vt:variant>
        <vt:i4>21</vt:i4>
      </vt:variant>
      <vt:variant>
        <vt:i4>0</vt:i4>
      </vt:variant>
      <vt:variant>
        <vt:i4>5</vt:i4>
      </vt:variant>
      <vt:variant>
        <vt:lpwstr/>
      </vt:variant>
      <vt:variant>
        <vt:lpwstr>_Keywords:</vt:lpwstr>
      </vt:variant>
      <vt:variant>
        <vt:i4>2424898</vt:i4>
      </vt:variant>
      <vt:variant>
        <vt:i4>18</vt:i4>
      </vt:variant>
      <vt:variant>
        <vt:i4>0</vt:i4>
      </vt:variant>
      <vt:variant>
        <vt:i4>5</vt:i4>
      </vt:variant>
      <vt:variant>
        <vt:lpwstr/>
      </vt:variant>
      <vt:variant>
        <vt:lpwstr>_Special_Notes:_*</vt:lpwstr>
      </vt:variant>
      <vt:variant>
        <vt:i4>5701674</vt:i4>
      </vt:variant>
      <vt:variant>
        <vt:i4>15</vt:i4>
      </vt:variant>
      <vt:variant>
        <vt:i4>0</vt:i4>
      </vt:variant>
      <vt:variant>
        <vt:i4>5</vt:i4>
      </vt:variant>
      <vt:variant>
        <vt:lpwstr/>
      </vt:variant>
      <vt:variant>
        <vt:lpwstr>_References:</vt:lpwstr>
      </vt:variant>
      <vt:variant>
        <vt:i4>917593</vt:i4>
      </vt:variant>
      <vt:variant>
        <vt:i4>12</vt:i4>
      </vt:variant>
      <vt:variant>
        <vt:i4>0</vt:i4>
      </vt:variant>
      <vt:variant>
        <vt:i4>5</vt:i4>
      </vt:variant>
      <vt:variant>
        <vt:lpwstr/>
      </vt:variant>
      <vt:variant>
        <vt:lpwstr>_Document_History:</vt:lpwstr>
      </vt:variant>
      <vt:variant>
        <vt:i4>5439550</vt:i4>
      </vt:variant>
      <vt:variant>
        <vt:i4>9</vt:i4>
      </vt:variant>
      <vt:variant>
        <vt:i4>0</vt:i4>
      </vt:variant>
      <vt:variant>
        <vt:i4>5</vt:i4>
      </vt:variant>
      <vt:variant>
        <vt:lpwstr/>
      </vt:variant>
      <vt:variant>
        <vt:lpwstr>_Coding:</vt:lpwstr>
      </vt:variant>
      <vt:variant>
        <vt:i4>3932234</vt:i4>
      </vt:variant>
      <vt:variant>
        <vt:i4>6</vt:i4>
      </vt:variant>
      <vt:variant>
        <vt:i4>0</vt:i4>
      </vt:variant>
      <vt:variant>
        <vt:i4>5</vt:i4>
      </vt:variant>
      <vt:variant>
        <vt:lpwstr/>
      </vt:variant>
      <vt:variant>
        <vt:lpwstr>_Criteria:</vt:lpwstr>
      </vt:variant>
      <vt:variant>
        <vt:i4>3145801</vt:i4>
      </vt:variant>
      <vt:variant>
        <vt:i4>3</vt:i4>
      </vt:variant>
      <vt:variant>
        <vt:i4>0</vt:i4>
      </vt:variant>
      <vt:variant>
        <vt:i4>5</vt:i4>
      </vt:variant>
      <vt:variant>
        <vt:lpwstr/>
      </vt:variant>
      <vt:variant>
        <vt:lpwstr>_Description_&amp;_Definitions:</vt:lpwstr>
      </vt:variant>
      <vt:variant>
        <vt:i4>52</vt:i4>
      </vt:variant>
      <vt:variant>
        <vt:i4>0</vt:i4>
      </vt:variant>
      <vt:variant>
        <vt:i4>0</vt:i4>
      </vt:variant>
      <vt:variant>
        <vt:i4>5</vt:i4>
      </vt:variant>
      <vt:variant>
        <vt:lpwstr/>
      </vt:variant>
      <vt:variant>
        <vt:lpwstr>_Coverage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DME 128</dc:title>
  <dc:subject>Surgical 15</dc:subject>
  <dc:creator/>
  <cp:keywords/>
  <dc:description/>
  <cp:lastModifiedBy/>
  <cp:revision>1</cp:revision>
  <dcterms:created xsi:type="dcterms:W3CDTF">2024-05-21T14:32:00Z</dcterms:created>
  <dcterms:modified xsi:type="dcterms:W3CDTF">2024-10-07T12:04:00Z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4ef66ba3dffada6c7ca3472b9a7ea2606354eb55b8d58e2a04897a497d418374</vt:lpwstr>
  </property>
</Properties>
</file>