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66E71" w14:textId="77777777" w:rsidR="00137ECB" w:rsidRDefault="000F6F59">
      <w:r w:rsidRPr="00343A98">
        <w:rPr>
          <w:rFonts w:ascii="Georgia" w:eastAsia="Times New Roman" w:hAnsi="Georgia" w:cs="Calibri"/>
          <w:b/>
          <w:bCs/>
          <w:sz w:val="28"/>
          <w:szCs w:val="28"/>
          <w:u w:val="single"/>
        </w:rPr>
        <w:t>Guideline</w:t>
      </w:r>
      <w:r w:rsidR="00246265" w:rsidRPr="00343A98">
        <w:rPr>
          <w:rFonts w:ascii="Georgia" w:eastAsia="Times New Roman" w:hAnsi="Georgia" w:cs="Calibri"/>
          <w:b/>
          <w:bCs/>
          <w:sz w:val="28"/>
          <w:szCs w:val="28"/>
          <w:u w:val="single"/>
        </w:rPr>
        <w:t xml:space="preserve"> Title:</w:t>
      </w:r>
      <w:r>
        <w:rPr>
          <w:b/>
          <w:sz w:val="28"/>
          <w:szCs w:val="28"/>
          <w:u w:val="single"/>
        </w:rPr>
        <w:t xml:space="preserve"> </w:t>
      </w:r>
      <w:bookmarkStart w:id="0" w:name="_Hlk51741675"/>
      <w:r w:rsidR="002B72E3" w:rsidRPr="00343A98">
        <w:rPr>
          <w:rFonts w:ascii="Arial" w:hAnsi="Arial" w:cs="Arial"/>
          <w:sz w:val="20"/>
          <w:szCs w:val="20"/>
        </w:rPr>
        <w:t xml:space="preserve">Continuous Glucose Monitoring Systems </w:t>
      </w:r>
      <w:r w:rsidR="00F462E5" w:rsidRPr="00343A98">
        <w:rPr>
          <w:rFonts w:ascii="Arial" w:hAnsi="Arial" w:cs="Arial"/>
          <w:sz w:val="20"/>
          <w:szCs w:val="20"/>
        </w:rPr>
        <w:t>Commercial</w:t>
      </w:r>
    </w:p>
    <w:p w14:paraId="2DD7C077" w14:textId="171EDBD4" w:rsidR="00246265" w:rsidRPr="000F6F59" w:rsidRDefault="000F6F59">
      <w:r w:rsidRPr="00343A98">
        <w:rPr>
          <w:rFonts w:ascii="Georgia" w:eastAsia="Times New Roman" w:hAnsi="Georgia" w:cs="Calibri"/>
          <w:b/>
          <w:bCs/>
          <w:sz w:val="28"/>
          <w:szCs w:val="28"/>
          <w:u w:val="single"/>
        </w:rPr>
        <w:t>ORG/OTC Code:</w:t>
      </w:r>
      <w:r>
        <w:rPr>
          <w:b/>
          <w:sz w:val="28"/>
          <w:szCs w:val="28"/>
          <w:u w:val="single"/>
        </w:rPr>
        <w:t xml:space="preserve"> </w:t>
      </w:r>
      <w:r w:rsidR="00F462E5" w:rsidRPr="00343A98">
        <w:rPr>
          <w:rFonts w:ascii="Arial" w:hAnsi="Arial" w:cs="Arial"/>
          <w:bCs/>
          <w:sz w:val="20"/>
          <w:szCs w:val="20"/>
        </w:rPr>
        <w:t>D</w:t>
      </w:r>
      <w:r w:rsidR="002B72E3" w:rsidRPr="00343A98">
        <w:rPr>
          <w:rFonts w:ascii="Arial" w:hAnsi="Arial" w:cs="Arial"/>
          <w:sz w:val="20"/>
          <w:szCs w:val="20"/>
        </w:rPr>
        <w:t xml:space="preserve">urable Medical Equipment </w:t>
      </w:r>
      <w:r w:rsidR="00B62670" w:rsidRPr="00343A98">
        <w:rPr>
          <w:rFonts w:ascii="Arial" w:hAnsi="Arial" w:cs="Arial"/>
          <w:sz w:val="20"/>
          <w:szCs w:val="20"/>
        </w:rPr>
        <w:t>10</w:t>
      </w:r>
      <w:r w:rsidR="00F462E5" w:rsidRPr="00343A98">
        <w:rPr>
          <w:rFonts w:ascii="Arial" w:hAnsi="Arial" w:cs="Arial"/>
          <w:sz w:val="20"/>
          <w:szCs w:val="20"/>
        </w:rPr>
        <w:t xml:space="preserve"> Commercial</w:t>
      </w:r>
      <w:r w:rsidR="00843BF3" w:rsidRPr="00343A98">
        <w:rPr>
          <w:rFonts w:ascii="Arial" w:hAnsi="Arial" w:cs="Arial"/>
          <w:sz w:val="20"/>
          <w:szCs w:val="20"/>
        </w:rPr>
        <w:t xml:space="preserve"> v</w:t>
      </w:r>
      <w:r w:rsidR="00C21980" w:rsidRPr="00343A98">
        <w:rPr>
          <w:rFonts w:ascii="Arial" w:hAnsi="Arial" w:cs="Arial"/>
          <w:sz w:val="20"/>
          <w:szCs w:val="20"/>
          <w:highlight w:val="yellow"/>
        </w:rPr>
        <w:t>1</w:t>
      </w:r>
      <w:r w:rsidR="001C6BD0">
        <w:rPr>
          <w:rFonts w:ascii="Arial" w:hAnsi="Arial" w:cs="Arial"/>
          <w:sz w:val="20"/>
          <w:szCs w:val="20"/>
        </w:rPr>
        <w:t>2</w:t>
      </w:r>
    </w:p>
    <w:bookmarkEnd w:id="0"/>
    <w:p w14:paraId="48FF6E2C" w14:textId="77777777" w:rsidR="00BC4933" w:rsidRPr="00343A98" w:rsidRDefault="00246265" w:rsidP="00343A98">
      <w:pPr>
        <w:spacing w:line="240" w:lineRule="auto"/>
        <w:rPr>
          <w:rFonts w:ascii="Georgia" w:eastAsia="Times New Roman" w:hAnsi="Georgia" w:cs="Calibri"/>
          <w:b/>
          <w:bCs/>
          <w:sz w:val="28"/>
          <w:szCs w:val="28"/>
          <w:u w:val="single"/>
        </w:rPr>
      </w:pPr>
      <w:r w:rsidRPr="00343A98">
        <w:rPr>
          <w:rFonts w:ascii="Georgia" w:eastAsia="Times New Roman" w:hAnsi="Georgia" w:cs="Calibri"/>
          <w:b/>
          <w:bCs/>
          <w:sz w:val="28"/>
          <w:szCs w:val="28"/>
          <w:u w:val="single"/>
        </w:rPr>
        <w:t>Description of Item or Service:</w:t>
      </w:r>
      <w:r w:rsidR="003B6737" w:rsidRPr="00343A98">
        <w:rPr>
          <w:rFonts w:ascii="Georgia" w:eastAsia="Times New Roman" w:hAnsi="Georgia" w:cs="Calibri"/>
          <w:b/>
          <w:bCs/>
          <w:sz w:val="28"/>
          <w:szCs w:val="28"/>
          <w:u w:val="single"/>
        </w:rPr>
        <w:t xml:space="preserve"> </w:t>
      </w:r>
    </w:p>
    <w:p w14:paraId="0A3258C4" w14:textId="77777777" w:rsidR="00AF1A9C" w:rsidRPr="00343A98" w:rsidRDefault="00A03551" w:rsidP="007E399C">
      <w:pPr>
        <w:ind w:left="720"/>
        <w:rPr>
          <w:rFonts w:ascii="Arial" w:hAnsi="Arial" w:cs="Arial"/>
          <w:sz w:val="20"/>
          <w:szCs w:val="20"/>
        </w:rPr>
      </w:pPr>
      <w:r w:rsidRPr="00343A98">
        <w:rPr>
          <w:rFonts w:ascii="Arial" w:hAnsi="Arial" w:cs="Arial"/>
          <w:sz w:val="20"/>
          <w:szCs w:val="20"/>
        </w:rPr>
        <w:t xml:space="preserve">Continuous glucose monitoring measures glucose levels throughout the </w:t>
      </w:r>
      <w:r w:rsidR="009D5912" w:rsidRPr="00343A98">
        <w:rPr>
          <w:rFonts w:ascii="Arial" w:hAnsi="Arial" w:cs="Arial"/>
          <w:sz w:val="20"/>
          <w:szCs w:val="20"/>
        </w:rPr>
        <w:t>day with an electrode that is inserted under the skin. The electrode is connected to a transmitter that sends the information to a monitoring and display device that can notify the individual if their glucose is high or low</w:t>
      </w:r>
      <w:r w:rsidR="00AF1A9C" w:rsidRPr="00343A98">
        <w:rPr>
          <w:rFonts w:ascii="Arial" w:hAnsi="Arial" w:cs="Arial"/>
          <w:sz w:val="20"/>
          <w:szCs w:val="20"/>
        </w:rPr>
        <w:t xml:space="preserve">. </w:t>
      </w:r>
    </w:p>
    <w:p w14:paraId="48841552" w14:textId="77777777" w:rsidR="00E20ECB" w:rsidRPr="00343A98" w:rsidRDefault="003B6737" w:rsidP="00343A98">
      <w:pPr>
        <w:spacing w:line="240" w:lineRule="auto"/>
        <w:rPr>
          <w:rFonts w:ascii="Georgia" w:eastAsia="Times New Roman" w:hAnsi="Georgia" w:cs="Calibri"/>
          <w:b/>
          <w:bCs/>
          <w:sz w:val="28"/>
          <w:szCs w:val="28"/>
          <w:u w:val="single"/>
        </w:rPr>
      </w:pPr>
      <w:r w:rsidRPr="00343A98">
        <w:rPr>
          <w:rFonts w:ascii="Georgia" w:eastAsia="Times New Roman" w:hAnsi="Georgia" w:cs="Calibri"/>
          <w:b/>
          <w:bCs/>
          <w:sz w:val="28"/>
          <w:szCs w:val="28"/>
          <w:u w:val="single"/>
        </w:rPr>
        <w:t>Clinical Indications for Procedure:</w:t>
      </w:r>
      <w:r w:rsidR="00E20ECB" w:rsidRPr="00343A98">
        <w:rPr>
          <w:rFonts w:ascii="Georgia" w:eastAsia="Times New Roman" w:hAnsi="Georgia" w:cs="Calibri"/>
          <w:b/>
          <w:bCs/>
          <w:sz w:val="28"/>
          <w:szCs w:val="28"/>
          <w:u w:val="single"/>
        </w:rPr>
        <w:t xml:space="preserve"> </w:t>
      </w:r>
    </w:p>
    <w:p w14:paraId="0E32B486" w14:textId="77777777" w:rsidR="00B561E9" w:rsidRPr="00343A98" w:rsidRDefault="00B561E9" w:rsidP="00F60DB5">
      <w:pPr>
        <w:numPr>
          <w:ilvl w:val="0"/>
          <w:numId w:val="2"/>
        </w:numPr>
        <w:spacing w:before="100" w:beforeAutospacing="1" w:after="100" w:afterAutospacing="1" w:line="312" w:lineRule="atLeast"/>
        <w:rPr>
          <w:rFonts w:ascii="Arial" w:eastAsia="Times New Roman" w:hAnsi="Arial" w:cs="Arial"/>
          <w:color w:val="000000"/>
          <w:sz w:val="20"/>
          <w:szCs w:val="20"/>
        </w:rPr>
      </w:pPr>
      <w:r w:rsidRPr="00343A98">
        <w:rPr>
          <w:rFonts w:ascii="Arial" w:eastAsia="Times New Roman" w:hAnsi="Arial" w:cs="Arial"/>
          <w:color w:val="000000"/>
          <w:sz w:val="20"/>
          <w:szCs w:val="20"/>
        </w:rPr>
        <w:t xml:space="preserve">Continuous </w:t>
      </w:r>
      <w:r w:rsidR="0050599D" w:rsidRPr="00343A98">
        <w:rPr>
          <w:rFonts w:ascii="Arial" w:eastAsia="Times New Roman" w:hAnsi="Arial" w:cs="Arial"/>
          <w:color w:val="000000"/>
          <w:sz w:val="20"/>
          <w:szCs w:val="20"/>
        </w:rPr>
        <w:t>G</w:t>
      </w:r>
      <w:r w:rsidRPr="00343A98">
        <w:rPr>
          <w:rFonts w:ascii="Arial" w:eastAsia="Times New Roman" w:hAnsi="Arial" w:cs="Arial"/>
          <w:color w:val="000000"/>
          <w:sz w:val="20"/>
          <w:szCs w:val="20"/>
        </w:rPr>
        <w:t xml:space="preserve">lucose </w:t>
      </w:r>
      <w:r w:rsidR="0050599D" w:rsidRPr="00343A98">
        <w:rPr>
          <w:rFonts w:ascii="Arial" w:eastAsia="Times New Roman" w:hAnsi="Arial" w:cs="Arial"/>
          <w:color w:val="000000"/>
          <w:sz w:val="20"/>
          <w:szCs w:val="20"/>
        </w:rPr>
        <w:t>M</w:t>
      </w:r>
      <w:r w:rsidRPr="00343A98">
        <w:rPr>
          <w:rFonts w:ascii="Arial" w:eastAsia="Times New Roman" w:hAnsi="Arial" w:cs="Arial"/>
          <w:color w:val="000000"/>
          <w:sz w:val="20"/>
          <w:szCs w:val="20"/>
        </w:rPr>
        <w:t xml:space="preserve">onitoring </w:t>
      </w:r>
      <w:r w:rsidR="0050599D" w:rsidRPr="00343A98">
        <w:rPr>
          <w:rFonts w:ascii="Arial" w:eastAsia="Times New Roman" w:hAnsi="Arial" w:cs="Arial"/>
          <w:color w:val="000000"/>
          <w:sz w:val="20"/>
          <w:szCs w:val="20"/>
        </w:rPr>
        <w:t xml:space="preserve">Systems </w:t>
      </w:r>
      <w:r w:rsidRPr="00343A98">
        <w:rPr>
          <w:rFonts w:ascii="Arial" w:eastAsia="Times New Roman" w:hAnsi="Arial" w:cs="Arial"/>
          <w:color w:val="000000"/>
          <w:sz w:val="20"/>
          <w:szCs w:val="20"/>
        </w:rPr>
        <w:t xml:space="preserve">may be indicated for </w:t>
      </w:r>
      <w:r w:rsidR="00F60DB5" w:rsidRPr="00343A98">
        <w:rPr>
          <w:rFonts w:ascii="Arial" w:eastAsia="Times New Roman" w:hAnsi="Arial" w:cs="Arial"/>
          <w:b/>
          <w:bCs/>
          <w:color w:val="000000"/>
          <w:sz w:val="20"/>
          <w:szCs w:val="20"/>
        </w:rPr>
        <w:t>1</w:t>
      </w:r>
      <w:r w:rsidRPr="00343A98">
        <w:rPr>
          <w:rFonts w:ascii="Arial" w:eastAsia="Times New Roman" w:hAnsi="Arial" w:cs="Arial"/>
          <w:b/>
          <w:bCs/>
          <w:color w:val="000000"/>
          <w:sz w:val="20"/>
          <w:szCs w:val="20"/>
        </w:rPr>
        <w:t xml:space="preserve"> or more</w:t>
      </w:r>
      <w:r w:rsidRPr="00343A98">
        <w:rPr>
          <w:rFonts w:ascii="Arial" w:eastAsia="Times New Roman" w:hAnsi="Arial" w:cs="Arial"/>
          <w:color w:val="000000"/>
          <w:sz w:val="20"/>
          <w:szCs w:val="20"/>
        </w:rPr>
        <w:t xml:space="preserve"> of the following</w:t>
      </w:r>
      <w:bookmarkStart w:id="1" w:name="cl_c_1"/>
      <w:bookmarkStart w:id="2" w:name="cl_c_2"/>
      <w:bookmarkStart w:id="3" w:name="cl_c_3"/>
      <w:bookmarkStart w:id="4" w:name="cl_c_4"/>
      <w:bookmarkEnd w:id="1"/>
      <w:bookmarkEnd w:id="2"/>
      <w:bookmarkEnd w:id="3"/>
      <w:bookmarkEnd w:id="4"/>
      <w:r w:rsidRPr="00343A98">
        <w:rPr>
          <w:rFonts w:ascii="Arial" w:eastAsia="Times New Roman" w:hAnsi="Arial" w:cs="Arial"/>
          <w:color w:val="000000"/>
          <w:sz w:val="20"/>
          <w:szCs w:val="20"/>
        </w:rPr>
        <w:t xml:space="preserve">: </w:t>
      </w:r>
    </w:p>
    <w:p w14:paraId="4A4421F7" w14:textId="77777777" w:rsidR="00B561E9" w:rsidRPr="00343A98" w:rsidRDefault="00B561E9" w:rsidP="00F60DB5">
      <w:pPr>
        <w:numPr>
          <w:ilvl w:val="1"/>
          <w:numId w:val="2"/>
        </w:numPr>
        <w:spacing w:after="0" w:line="312" w:lineRule="atLeast"/>
        <w:ind w:left="1080"/>
        <w:rPr>
          <w:rFonts w:ascii="Arial" w:eastAsia="Times New Roman" w:hAnsi="Arial" w:cs="Arial"/>
          <w:color w:val="000000"/>
          <w:sz w:val="20"/>
          <w:szCs w:val="20"/>
        </w:rPr>
      </w:pPr>
      <w:r w:rsidRPr="00343A98">
        <w:rPr>
          <w:rFonts w:ascii="Arial" w:eastAsia="Times New Roman" w:hAnsi="Arial" w:cs="Arial"/>
          <w:color w:val="000000"/>
          <w:sz w:val="20"/>
          <w:szCs w:val="20"/>
        </w:rPr>
        <w:t xml:space="preserve">Type 1 or type 2 diabetes mellitus or gestational diabetes, and long-term continuous glucose monitoring needed, as indicated by </w:t>
      </w:r>
      <w:proofErr w:type="gramStart"/>
      <w:r w:rsidRPr="00343A98">
        <w:rPr>
          <w:rFonts w:ascii="Arial" w:eastAsia="Times New Roman" w:hAnsi="Arial" w:cs="Arial"/>
          <w:b/>
          <w:bCs/>
          <w:color w:val="000000"/>
          <w:sz w:val="20"/>
          <w:szCs w:val="20"/>
        </w:rPr>
        <w:t>ALL</w:t>
      </w:r>
      <w:r w:rsidRPr="00343A98">
        <w:rPr>
          <w:rFonts w:ascii="Arial" w:eastAsia="Times New Roman" w:hAnsi="Arial" w:cs="Arial"/>
          <w:color w:val="000000"/>
          <w:sz w:val="20"/>
          <w:szCs w:val="20"/>
        </w:rPr>
        <w:t xml:space="preserve"> of</w:t>
      </w:r>
      <w:proofErr w:type="gramEnd"/>
      <w:r w:rsidRPr="00343A98">
        <w:rPr>
          <w:rFonts w:ascii="Arial" w:eastAsia="Times New Roman" w:hAnsi="Arial" w:cs="Arial"/>
          <w:color w:val="000000"/>
          <w:sz w:val="20"/>
          <w:szCs w:val="20"/>
        </w:rPr>
        <w:t xml:space="preserve"> the followin</w:t>
      </w:r>
      <w:bookmarkStart w:id="5" w:name="cl_c_32"/>
      <w:bookmarkStart w:id="6" w:name="cl_c_31"/>
      <w:bookmarkStart w:id="7" w:name="cl_c_33"/>
      <w:bookmarkEnd w:id="5"/>
      <w:bookmarkEnd w:id="6"/>
      <w:bookmarkEnd w:id="7"/>
      <w:r w:rsidR="00F23352" w:rsidRPr="00343A98">
        <w:rPr>
          <w:rFonts w:ascii="Arial" w:eastAsia="Times New Roman" w:hAnsi="Arial" w:cs="Arial"/>
          <w:color w:val="000000"/>
          <w:sz w:val="20"/>
          <w:szCs w:val="20"/>
        </w:rPr>
        <w:t>g</w:t>
      </w:r>
      <w:r w:rsidRPr="00343A98">
        <w:rPr>
          <w:rFonts w:ascii="Arial" w:eastAsia="Times New Roman" w:hAnsi="Arial" w:cs="Arial"/>
          <w:color w:val="000000"/>
          <w:sz w:val="20"/>
          <w:szCs w:val="20"/>
        </w:rPr>
        <w:t>:</w:t>
      </w:r>
    </w:p>
    <w:p w14:paraId="32D7DDCB" w14:textId="77777777" w:rsidR="00B561E9" w:rsidRPr="00343A98" w:rsidRDefault="00B561E9" w:rsidP="00F60DB5">
      <w:pPr>
        <w:numPr>
          <w:ilvl w:val="2"/>
          <w:numId w:val="2"/>
        </w:numPr>
        <w:spacing w:before="100" w:beforeAutospacing="1" w:after="0" w:line="312" w:lineRule="atLeast"/>
        <w:ind w:left="1440"/>
        <w:rPr>
          <w:rFonts w:ascii="Arial" w:eastAsia="Times New Roman" w:hAnsi="Arial" w:cs="Arial"/>
          <w:color w:val="000000"/>
          <w:sz w:val="20"/>
          <w:szCs w:val="20"/>
        </w:rPr>
      </w:pPr>
      <w:r w:rsidRPr="00343A98">
        <w:rPr>
          <w:rFonts w:ascii="Arial" w:eastAsia="Times New Roman" w:hAnsi="Arial" w:cs="Arial"/>
          <w:color w:val="000000"/>
          <w:sz w:val="20"/>
          <w:szCs w:val="20"/>
        </w:rPr>
        <w:t>Intensive insulin regimen (3 or more</w:t>
      </w:r>
      <w:r w:rsidR="0050599D" w:rsidRPr="00343A98">
        <w:rPr>
          <w:rFonts w:ascii="Arial" w:eastAsia="Times New Roman" w:hAnsi="Arial" w:cs="Arial"/>
          <w:color w:val="000000"/>
          <w:sz w:val="20"/>
          <w:szCs w:val="20"/>
        </w:rPr>
        <w:t xml:space="preserve"> short acting </w:t>
      </w:r>
      <w:r w:rsidRPr="00343A98">
        <w:rPr>
          <w:rFonts w:ascii="Arial" w:eastAsia="Times New Roman" w:hAnsi="Arial" w:cs="Arial"/>
          <w:color w:val="000000"/>
          <w:sz w:val="20"/>
          <w:szCs w:val="20"/>
        </w:rPr>
        <w:t>insulin injections per day</w:t>
      </w:r>
      <w:r w:rsidR="00580315" w:rsidRPr="00343A98">
        <w:rPr>
          <w:rFonts w:ascii="Arial" w:eastAsia="Times New Roman" w:hAnsi="Arial" w:cs="Arial"/>
          <w:color w:val="000000"/>
          <w:sz w:val="20"/>
          <w:szCs w:val="20"/>
        </w:rPr>
        <w:t>),</w:t>
      </w:r>
      <w:r w:rsidRPr="00343A98">
        <w:rPr>
          <w:rFonts w:ascii="Arial" w:eastAsia="Times New Roman" w:hAnsi="Arial" w:cs="Arial"/>
          <w:color w:val="000000"/>
          <w:sz w:val="20"/>
          <w:szCs w:val="20"/>
        </w:rPr>
        <w:t xml:space="preserve"> or use of </w:t>
      </w:r>
      <w:r w:rsidR="0050599D" w:rsidRPr="00343A98">
        <w:rPr>
          <w:rFonts w:ascii="Arial" w:eastAsia="Times New Roman" w:hAnsi="Arial" w:cs="Arial"/>
          <w:color w:val="000000"/>
          <w:sz w:val="20"/>
          <w:szCs w:val="20"/>
        </w:rPr>
        <w:t xml:space="preserve">COMPATIBLE </w:t>
      </w:r>
      <w:r w:rsidRPr="00343A98">
        <w:rPr>
          <w:rFonts w:ascii="Arial" w:eastAsia="Times New Roman" w:hAnsi="Arial" w:cs="Arial"/>
          <w:color w:val="000000"/>
          <w:sz w:val="20"/>
          <w:szCs w:val="20"/>
        </w:rPr>
        <w:t>continuous subcutaneous insulin infusion pump</w:t>
      </w:r>
      <w:bookmarkStart w:id="8" w:name="cl_c_58"/>
      <w:bookmarkStart w:id="9" w:name="cl_c_59"/>
      <w:bookmarkEnd w:id="8"/>
      <w:bookmarkEnd w:id="9"/>
      <w:r w:rsidR="00F23352" w:rsidRPr="00343A98">
        <w:rPr>
          <w:rFonts w:ascii="Arial" w:eastAsia="Times New Roman" w:hAnsi="Arial" w:cs="Arial"/>
          <w:color w:val="000000"/>
          <w:sz w:val="20"/>
          <w:szCs w:val="20"/>
        </w:rPr>
        <w:t xml:space="preserve"> </w:t>
      </w:r>
    </w:p>
    <w:p w14:paraId="1E647F27" w14:textId="77777777" w:rsidR="0050599D" w:rsidRPr="00343A98" w:rsidRDefault="00286BFC" w:rsidP="00F60DB5">
      <w:pPr>
        <w:pStyle w:val="ListParagraph"/>
        <w:numPr>
          <w:ilvl w:val="0"/>
          <w:numId w:val="8"/>
        </w:numPr>
        <w:spacing w:after="0" w:line="240" w:lineRule="auto"/>
        <w:rPr>
          <w:rFonts w:ascii="Arial" w:eastAsia="Times New Roman" w:hAnsi="Arial" w:cs="Arial"/>
          <w:color w:val="000000"/>
          <w:sz w:val="20"/>
          <w:szCs w:val="20"/>
        </w:rPr>
      </w:pPr>
      <w:r w:rsidRPr="00343A98">
        <w:rPr>
          <w:rFonts w:ascii="Arial" w:eastAsia="Times New Roman" w:hAnsi="Arial" w:cs="Arial"/>
          <w:color w:val="000000"/>
          <w:sz w:val="20"/>
          <w:szCs w:val="20"/>
        </w:rPr>
        <w:t>Individual</w:t>
      </w:r>
      <w:r w:rsidR="00B561E9" w:rsidRPr="00343A98">
        <w:rPr>
          <w:rFonts w:ascii="Arial" w:eastAsia="Times New Roman" w:hAnsi="Arial" w:cs="Arial"/>
          <w:color w:val="000000"/>
          <w:sz w:val="20"/>
          <w:szCs w:val="20"/>
        </w:rPr>
        <w:t xml:space="preserve"> consistently monitors blood glucose 3 or more times per day</w:t>
      </w:r>
      <w:r w:rsidR="0050599D" w:rsidRPr="00343A98">
        <w:rPr>
          <w:rFonts w:ascii="Arial" w:eastAsia="Times New Roman" w:hAnsi="Arial" w:cs="Arial"/>
          <w:color w:val="000000"/>
          <w:sz w:val="20"/>
          <w:szCs w:val="20"/>
        </w:rPr>
        <w:t xml:space="preserve"> as documented on </w:t>
      </w:r>
      <w:proofErr w:type="gramStart"/>
      <w:r w:rsidR="0050599D" w:rsidRPr="00343A98">
        <w:rPr>
          <w:rFonts w:ascii="Arial" w:eastAsia="Times New Roman" w:hAnsi="Arial" w:cs="Arial"/>
          <w:b/>
          <w:bCs/>
          <w:color w:val="000000"/>
          <w:sz w:val="20"/>
          <w:szCs w:val="20"/>
        </w:rPr>
        <w:t>ALL</w:t>
      </w:r>
      <w:r w:rsidR="0050599D" w:rsidRPr="00343A98">
        <w:rPr>
          <w:rFonts w:ascii="Arial" w:eastAsia="Times New Roman" w:hAnsi="Arial" w:cs="Arial"/>
          <w:color w:val="000000"/>
          <w:sz w:val="20"/>
          <w:szCs w:val="20"/>
        </w:rPr>
        <w:t xml:space="preserve"> of</w:t>
      </w:r>
      <w:proofErr w:type="gramEnd"/>
      <w:r w:rsidR="0050599D" w:rsidRPr="00343A98">
        <w:rPr>
          <w:rFonts w:ascii="Arial" w:eastAsia="Times New Roman" w:hAnsi="Arial" w:cs="Arial"/>
          <w:color w:val="000000"/>
          <w:sz w:val="20"/>
          <w:szCs w:val="20"/>
        </w:rPr>
        <w:t xml:space="preserve"> the following:</w:t>
      </w:r>
    </w:p>
    <w:p w14:paraId="106EBCCF" w14:textId="77777777" w:rsidR="0050599D" w:rsidRPr="00343A98" w:rsidRDefault="0050599D" w:rsidP="00F60DB5">
      <w:pPr>
        <w:pStyle w:val="ListParagraph"/>
        <w:numPr>
          <w:ilvl w:val="0"/>
          <w:numId w:val="12"/>
        </w:numPr>
        <w:spacing w:line="240" w:lineRule="auto"/>
        <w:rPr>
          <w:rFonts w:ascii="Arial" w:eastAsia="Times New Roman" w:hAnsi="Arial" w:cs="Arial"/>
          <w:color w:val="000000"/>
          <w:sz w:val="20"/>
          <w:szCs w:val="20"/>
        </w:rPr>
      </w:pPr>
      <w:r w:rsidRPr="00343A98">
        <w:rPr>
          <w:rFonts w:ascii="Arial" w:eastAsia="Times New Roman" w:hAnsi="Arial" w:cs="Arial"/>
          <w:color w:val="000000"/>
          <w:sz w:val="20"/>
          <w:szCs w:val="20"/>
        </w:rPr>
        <w:t>Medical record documentation</w:t>
      </w:r>
    </w:p>
    <w:p w14:paraId="034E092D" w14:textId="77777777" w:rsidR="00B561E9" w:rsidRPr="00343A98" w:rsidRDefault="0050599D" w:rsidP="00F60DB5">
      <w:pPr>
        <w:pStyle w:val="ListParagraph"/>
        <w:numPr>
          <w:ilvl w:val="0"/>
          <w:numId w:val="12"/>
        </w:numPr>
        <w:spacing w:before="100" w:beforeAutospacing="1" w:after="100" w:afterAutospacing="1" w:line="312" w:lineRule="atLeast"/>
        <w:rPr>
          <w:rFonts w:ascii="Arial" w:eastAsia="Times New Roman" w:hAnsi="Arial" w:cs="Arial"/>
          <w:color w:val="000000"/>
          <w:sz w:val="20"/>
          <w:szCs w:val="20"/>
        </w:rPr>
      </w:pPr>
      <w:r w:rsidRPr="00343A98">
        <w:rPr>
          <w:rFonts w:ascii="Arial" w:eastAsia="Times New Roman" w:hAnsi="Arial" w:cs="Arial"/>
          <w:color w:val="000000"/>
          <w:sz w:val="20"/>
          <w:szCs w:val="20"/>
        </w:rPr>
        <w:t xml:space="preserve">Personal blood glucose log </w:t>
      </w:r>
      <w:proofErr w:type="gramStart"/>
      <w:r w:rsidRPr="00343A98">
        <w:rPr>
          <w:rFonts w:ascii="Arial" w:eastAsia="Times New Roman" w:hAnsi="Arial" w:cs="Arial"/>
          <w:color w:val="000000"/>
          <w:sz w:val="20"/>
          <w:szCs w:val="20"/>
        </w:rPr>
        <w:t>showing</w:t>
      </w:r>
      <w:proofErr w:type="gramEnd"/>
      <w:r w:rsidRPr="00343A98">
        <w:rPr>
          <w:rFonts w:ascii="Arial" w:eastAsia="Times New Roman" w:hAnsi="Arial" w:cs="Arial"/>
          <w:color w:val="000000"/>
          <w:sz w:val="20"/>
          <w:szCs w:val="20"/>
        </w:rPr>
        <w:t xml:space="preserve"> consistent measurements over 2 weeks. Individual and/or caregiver is adherent, </w:t>
      </w:r>
      <w:r w:rsidRPr="00343A98">
        <w:rPr>
          <w:rFonts w:ascii="Arial" w:eastAsia="Times New Roman" w:hAnsi="Arial" w:cs="Arial"/>
          <w:bCs/>
          <w:color w:val="000000"/>
          <w:sz w:val="20"/>
          <w:szCs w:val="20"/>
        </w:rPr>
        <w:t xml:space="preserve">capable of using the devices safely (either by themselves or a caregiver), </w:t>
      </w:r>
      <w:r w:rsidRPr="00343A98">
        <w:rPr>
          <w:rFonts w:ascii="Arial" w:eastAsia="Times New Roman" w:hAnsi="Arial" w:cs="Arial"/>
          <w:color w:val="000000"/>
          <w:sz w:val="20"/>
          <w:szCs w:val="20"/>
        </w:rPr>
        <w:t>knowledgeable and able to follow a diabetic treatment plan, and participates in ongoing education and support.</w:t>
      </w:r>
      <w:bookmarkStart w:id="10" w:name="cl_c_65"/>
      <w:bookmarkEnd w:id="10"/>
    </w:p>
    <w:p w14:paraId="63C2AAC2" w14:textId="77777777" w:rsidR="00B561E9" w:rsidRPr="00343A98" w:rsidRDefault="00B561E9" w:rsidP="00F60DB5">
      <w:pPr>
        <w:pStyle w:val="ListParagraph"/>
        <w:numPr>
          <w:ilvl w:val="1"/>
          <w:numId w:val="3"/>
        </w:numPr>
        <w:tabs>
          <w:tab w:val="clear" w:pos="1440"/>
          <w:tab w:val="num" w:pos="1080"/>
        </w:tabs>
        <w:ind w:left="1170" w:hanging="450"/>
        <w:rPr>
          <w:rFonts w:ascii="Arial" w:hAnsi="Arial" w:cs="Arial"/>
          <w:sz w:val="20"/>
          <w:szCs w:val="20"/>
        </w:rPr>
      </w:pPr>
      <w:r w:rsidRPr="00343A98">
        <w:rPr>
          <w:rFonts w:ascii="Arial" w:hAnsi="Arial" w:cs="Arial"/>
          <w:sz w:val="20"/>
          <w:szCs w:val="20"/>
        </w:rPr>
        <w:t xml:space="preserve">Replacement of Continuous Glucose Monitoring System is indicated with </w:t>
      </w:r>
      <w:proofErr w:type="gramStart"/>
      <w:r w:rsidRPr="00343A98">
        <w:rPr>
          <w:rFonts w:ascii="Arial" w:hAnsi="Arial" w:cs="Arial"/>
          <w:b/>
          <w:sz w:val="20"/>
          <w:szCs w:val="20"/>
        </w:rPr>
        <w:t>ALL</w:t>
      </w:r>
      <w:r w:rsidRPr="00343A98">
        <w:rPr>
          <w:rFonts w:ascii="Arial" w:hAnsi="Arial" w:cs="Arial"/>
          <w:sz w:val="20"/>
          <w:szCs w:val="20"/>
        </w:rPr>
        <w:t xml:space="preserve"> of</w:t>
      </w:r>
      <w:proofErr w:type="gramEnd"/>
      <w:r w:rsidRPr="00343A98">
        <w:rPr>
          <w:rFonts w:ascii="Arial" w:hAnsi="Arial" w:cs="Arial"/>
          <w:sz w:val="20"/>
          <w:szCs w:val="20"/>
        </w:rPr>
        <w:t xml:space="preserve"> the following:</w:t>
      </w:r>
    </w:p>
    <w:p w14:paraId="3E1DC326" w14:textId="77777777" w:rsidR="00B561E9" w:rsidRPr="00343A98" w:rsidRDefault="00B561E9" w:rsidP="00943621">
      <w:pPr>
        <w:pStyle w:val="ListParagraph"/>
        <w:numPr>
          <w:ilvl w:val="2"/>
          <w:numId w:val="3"/>
        </w:numPr>
        <w:tabs>
          <w:tab w:val="clear" w:pos="2160"/>
          <w:tab w:val="num" w:pos="1530"/>
        </w:tabs>
        <w:ind w:left="1440"/>
        <w:rPr>
          <w:rFonts w:ascii="Arial" w:hAnsi="Arial" w:cs="Arial"/>
          <w:sz w:val="20"/>
          <w:szCs w:val="20"/>
        </w:rPr>
      </w:pPr>
      <w:r w:rsidRPr="00343A98">
        <w:rPr>
          <w:rFonts w:ascii="Arial" w:hAnsi="Arial" w:cs="Arial"/>
          <w:sz w:val="20"/>
          <w:szCs w:val="20"/>
        </w:rPr>
        <w:t>The problem(s) which limit the use of the current continuous glucose monitoring system is clearly identified (including misuse or abuse of the equipment)</w:t>
      </w:r>
    </w:p>
    <w:p w14:paraId="16D45E27" w14:textId="77777777" w:rsidR="00B561E9" w:rsidRPr="00343A98" w:rsidRDefault="00B561E9" w:rsidP="00943621">
      <w:pPr>
        <w:pStyle w:val="ListParagraph"/>
        <w:numPr>
          <w:ilvl w:val="2"/>
          <w:numId w:val="3"/>
        </w:numPr>
        <w:tabs>
          <w:tab w:val="clear" w:pos="2160"/>
          <w:tab w:val="num" w:pos="1530"/>
        </w:tabs>
        <w:ind w:left="1440"/>
        <w:rPr>
          <w:rFonts w:ascii="Arial" w:hAnsi="Arial" w:cs="Arial"/>
          <w:sz w:val="20"/>
          <w:szCs w:val="20"/>
        </w:rPr>
      </w:pPr>
      <w:r w:rsidRPr="00343A98">
        <w:rPr>
          <w:rFonts w:ascii="Arial" w:hAnsi="Arial" w:cs="Arial"/>
          <w:sz w:val="20"/>
          <w:szCs w:val="20"/>
        </w:rPr>
        <w:t xml:space="preserve">There is documentation that the current continuous glucose monitoring system is not under warranty, including the date of warranty </w:t>
      </w:r>
      <w:r w:rsidR="0050599D" w:rsidRPr="00343A98">
        <w:rPr>
          <w:rFonts w:ascii="Arial" w:hAnsi="Arial" w:cs="Arial"/>
          <w:sz w:val="20"/>
          <w:szCs w:val="20"/>
        </w:rPr>
        <w:t>expiration.</w:t>
      </w:r>
    </w:p>
    <w:p w14:paraId="6C2CAD5F" w14:textId="77777777" w:rsidR="0050599D" w:rsidRPr="00343A98" w:rsidRDefault="0050599D" w:rsidP="00F60DB5">
      <w:pPr>
        <w:pStyle w:val="ListParagraph"/>
        <w:numPr>
          <w:ilvl w:val="1"/>
          <w:numId w:val="3"/>
        </w:numPr>
        <w:ind w:left="1080"/>
        <w:rPr>
          <w:rFonts w:ascii="Arial" w:hAnsi="Arial" w:cs="Arial"/>
          <w:sz w:val="20"/>
          <w:szCs w:val="20"/>
        </w:rPr>
      </w:pPr>
      <w:r w:rsidRPr="00343A98">
        <w:rPr>
          <w:rFonts w:ascii="Arial" w:hAnsi="Arial" w:cs="Arial"/>
          <w:sz w:val="20"/>
          <w:szCs w:val="20"/>
        </w:rPr>
        <w:t xml:space="preserve">Continued coverage of Continuous Glucose Monitoring System devices </w:t>
      </w:r>
      <w:proofErr w:type="gramStart"/>
      <w:r w:rsidRPr="00343A98">
        <w:rPr>
          <w:rFonts w:ascii="Arial" w:hAnsi="Arial" w:cs="Arial"/>
          <w:sz w:val="20"/>
          <w:szCs w:val="20"/>
        </w:rPr>
        <w:t>are</w:t>
      </w:r>
      <w:proofErr w:type="gramEnd"/>
      <w:r w:rsidRPr="00343A98">
        <w:rPr>
          <w:rFonts w:ascii="Arial" w:hAnsi="Arial" w:cs="Arial"/>
          <w:sz w:val="20"/>
          <w:szCs w:val="20"/>
        </w:rPr>
        <w:t xml:space="preserve"> considered medically necessary with </w:t>
      </w:r>
      <w:proofErr w:type="gramStart"/>
      <w:r w:rsidRPr="00343A98">
        <w:rPr>
          <w:rFonts w:ascii="Arial" w:hAnsi="Arial" w:cs="Arial"/>
          <w:b/>
          <w:bCs/>
          <w:sz w:val="20"/>
          <w:szCs w:val="20"/>
        </w:rPr>
        <w:t>ALL</w:t>
      </w:r>
      <w:r w:rsidRPr="00343A98">
        <w:rPr>
          <w:rFonts w:ascii="Arial" w:hAnsi="Arial" w:cs="Arial"/>
          <w:sz w:val="20"/>
          <w:szCs w:val="20"/>
        </w:rPr>
        <w:t xml:space="preserve"> of</w:t>
      </w:r>
      <w:proofErr w:type="gramEnd"/>
      <w:r w:rsidRPr="00343A98">
        <w:rPr>
          <w:rFonts w:ascii="Arial" w:hAnsi="Arial" w:cs="Arial"/>
          <w:sz w:val="20"/>
          <w:szCs w:val="20"/>
        </w:rPr>
        <w:t xml:space="preserve"> the following:</w:t>
      </w:r>
    </w:p>
    <w:p w14:paraId="0903FFFD" w14:textId="77777777" w:rsidR="0050599D" w:rsidRPr="00343A98" w:rsidRDefault="0050599D" w:rsidP="0050599D">
      <w:pPr>
        <w:pStyle w:val="ListParagraph"/>
        <w:numPr>
          <w:ilvl w:val="2"/>
          <w:numId w:val="3"/>
        </w:numPr>
        <w:tabs>
          <w:tab w:val="clear" w:pos="2160"/>
        </w:tabs>
        <w:ind w:left="1440"/>
        <w:rPr>
          <w:rFonts w:ascii="Arial" w:hAnsi="Arial" w:cs="Arial"/>
          <w:sz w:val="20"/>
          <w:szCs w:val="20"/>
        </w:rPr>
      </w:pPr>
      <w:proofErr w:type="gramStart"/>
      <w:r w:rsidRPr="00343A98">
        <w:rPr>
          <w:rFonts w:ascii="Arial" w:hAnsi="Arial" w:cs="Arial"/>
          <w:sz w:val="20"/>
          <w:szCs w:val="20"/>
        </w:rPr>
        <w:t>Member continues</w:t>
      </w:r>
      <w:proofErr w:type="gramEnd"/>
      <w:r w:rsidRPr="00343A98">
        <w:rPr>
          <w:rFonts w:ascii="Arial" w:hAnsi="Arial" w:cs="Arial"/>
          <w:sz w:val="20"/>
          <w:szCs w:val="20"/>
        </w:rPr>
        <w:t xml:space="preserve"> to meet above coverage criteria.</w:t>
      </w:r>
    </w:p>
    <w:p w14:paraId="798044BB" w14:textId="77777777" w:rsidR="0050599D" w:rsidRPr="00343A98" w:rsidRDefault="0050599D" w:rsidP="0050599D">
      <w:pPr>
        <w:pStyle w:val="ListParagraph"/>
        <w:numPr>
          <w:ilvl w:val="2"/>
          <w:numId w:val="3"/>
        </w:numPr>
        <w:tabs>
          <w:tab w:val="clear" w:pos="2160"/>
        </w:tabs>
        <w:spacing w:after="0"/>
        <w:ind w:left="1440"/>
        <w:rPr>
          <w:rFonts w:ascii="Arial" w:hAnsi="Arial" w:cs="Arial"/>
          <w:sz w:val="20"/>
          <w:szCs w:val="20"/>
        </w:rPr>
      </w:pPr>
      <w:r w:rsidRPr="00343A98">
        <w:rPr>
          <w:rFonts w:ascii="Arial" w:hAnsi="Arial" w:cs="Arial"/>
          <w:sz w:val="20"/>
          <w:szCs w:val="20"/>
        </w:rPr>
        <w:t>Non-Adherence to treatment has been addressed and documentation supports continued use.</w:t>
      </w:r>
    </w:p>
    <w:p w14:paraId="48D9A023" w14:textId="77777777" w:rsidR="0050599D" w:rsidRPr="00343A98" w:rsidRDefault="0050599D" w:rsidP="0050599D">
      <w:pPr>
        <w:rPr>
          <w:rFonts w:ascii="Arial" w:hAnsi="Arial" w:cs="Arial"/>
          <w:sz w:val="20"/>
          <w:szCs w:val="20"/>
        </w:rPr>
      </w:pPr>
    </w:p>
    <w:p w14:paraId="5FE12F43" w14:textId="77777777" w:rsidR="00580315" w:rsidRPr="00343A98" w:rsidRDefault="00580315" w:rsidP="00580315">
      <w:pPr>
        <w:spacing w:after="0" w:line="240" w:lineRule="auto"/>
        <w:rPr>
          <w:rFonts w:ascii="Arial" w:hAnsi="Arial" w:cs="Arial"/>
          <w:sz w:val="20"/>
          <w:szCs w:val="20"/>
        </w:rPr>
      </w:pPr>
      <w:r w:rsidRPr="00343A98">
        <w:rPr>
          <w:rFonts w:ascii="Arial" w:hAnsi="Arial" w:cs="Arial"/>
          <w:sz w:val="20"/>
          <w:szCs w:val="20"/>
        </w:rPr>
        <w:t xml:space="preserve">There is insufficient scientific evidence to support the medical </w:t>
      </w:r>
      <w:proofErr w:type="gramStart"/>
      <w:r w:rsidRPr="00343A98">
        <w:rPr>
          <w:rFonts w:ascii="Arial" w:hAnsi="Arial" w:cs="Arial"/>
          <w:sz w:val="20"/>
          <w:szCs w:val="20"/>
        </w:rPr>
        <w:t>necessity</w:t>
      </w:r>
      <w:proofErr w:type="gramEnd"/>
      <w:r w:rsidRPr="00343A98">
        <w:rPr>
          <w:rFonts w:ascii="Arial" w:hAnsi="Arial" w:cs="Arial"/>
          <w:sz w:val="20"/>
          <w:szCs w:val="20"/>
        </w:rPr>
        <w:t xml:space="preserve"> </w:t>
      </w:r>
      <w:r w:rsidR="00114BD1" w:rsidRPr="00343A98">
        <w:rPr>
          <w:rFonts w:ascii="Arial" w:hAnsi="Arial" w:cs="Arial"/>
          <w:sz w:val="20"/>
          <w:szCs w:val="20"/>
        </w:rPr>
        <w:t xml:space="preserve">any </w:t>
      </w:r>
      <w:r w:rsidRPr="00343A98">
        <w:rPr>
          <w:rFonts w:ascii="Arial" w:hAnsi="Arial" w:cs="Arial"/>
          <w:sz w:val="20"/>
          <w:szCs w:val="20"/>
        </w:rPr>
        <w:t>of the following as they are not shown to improve health outcomes upon technology review:</w:t>
      </w:r>
    </w:p>
    <w:p w14:paraId="5CDF014B" w14:textId="77777777" w:rsidR="00580315" w:rsidRPr="00343A98" w:rsidRDefault="00580315" w:rsidP="00F60DB5">
      <w:pPr>
        <w:numPr>
          <w:ilvl w:val="0"/>
          <w:numId w:val="13"/>
        </w:numPr>
        <w:spacing w:after="0" w:line="240" w:lineRule="auto"/>
        <w:contextualSpacing/>
        <w:rPr>
          <w:rFonts w:ascii="Arial" w:hAnsi="Arial" w:cs="Arial"/>
          <w:bCs/>
          <w:sz w:val="20"/>
          <w:szCs w:val="20"/>
        </w:rPr>
      </w:pPr>
      <w:r w:rsidRPr="00343A98">
        <w:rPr>
          <w:rFonts w:ascii="Arial" w:hAnsi="Arial" w:cs="Arial"/>
          <w:bCs/>
          <w:sz w:val="20"/>
          <w:szCs w:val="20"/>
        </w:rPr>
        <w:t>Diabetes Management Software</w:t>
      </w:r>
    </w:p>
    <w:p w14:paraId="72417FEC" w14:textId="77777777" w:rsidR="00580315" w:rsidRPr="00343A98" w:rsidRDefault="00580315" w:rsidP="00F60DB5">
      <w:pPr>
        <w:numPr>
          <w:ilvl w:val="0"/>
          <w:numId w:val="13"/>
        </w:numPr>
        <w:spacing w:after="0" w:line="240" w:lineRule="auto"/>
        <w:rPr>
          <w:rFonts w:ascii="Arial" w:hAnsi="Arial" w:cs="Arial"/>
          <w:bCs/>
          <w:sz w:val="20"/>
          <w:szCs w:val="20"/>
        </w:rPr>
      </w:pPr>
      <w:r w:rsidRPr="00343A98">
        <w:rPr>
          <w:rFonts w:ascii="Arial" w:hAnsi="Arial" w:cs="Arial"/>
          <w:bCs/>
          <w:sz w:val="20"/>
          <w:szCs w:val="20"/>
        </w:rPr>
        <w:t xml:space="preserve">Hypoglycemic wristband alarm (e.g., Diabetes Sentry, </w:t>
      </w:r>
      <w:proofErr w:type="spellStart"/>
      <w:r w:rsidRPr="00343A98">
        <w:rPr>
          <w:rFonts w:ascii="Arial" w:hAnsi="Arial" w:cs="Arial"/>
          <w:bCs/>
          <w:sz w:val="20"/>
          <w:szCs w:val="20"/>
        </w:rPr>
        <w:t>GlucoWatch</w:t>
      </w:r>
      <w:proofErr w:type="spellEnd"/>
      <w:r w:rsidRPr="00343A98">
        <w:rPr>
          <w:rFonts w:ascii="Arial" w:hAnsi="Arial" w:cs="Arial"/>
          <w:bCs/>
          <w:sz w:val="20"/>
          <w:szCs w:val="20"/>
        </w:rPr>
        <w:t xml:space="preserve"> )</w:t>
      </w:r>
    </w:p>
    <w:p w14:paraId="55D56D3B" w14:textId="77777777" w:rsidR="00580315" w:rsidRPr="00343A98" w:rsidRDefault="00580315" w:rsidP="00F60DB5">
      <w:pPr>
        <w:numPr>
          <w:ilvl w:val="0"/>
          <w:numId w:val="13"/>
        </w:numPr>
        <w:spacing w:after="0" w:line="240" w:lineRule="auto"/>
        <w:rPr>
          <w:rFonts w:ascii="Arial" w:hAnsi="Arial" w:cs="Arial"/>
          <w:bCs/>
          <w:sz w:val="20"/>
          <w:szCs w:val="20"/>
        </w:rPr>
      </w:pPr>
      <w:r w:rsidRPr="00343A98">
        <w:rPr>
          <w:rFonts w:ascii="Arial" w:hAnsi="Arial" w:cs="Arial"/>
          <w:bCs/>
          <w:sz w:val="20"/>
          <w:szCs w:val="20"/>
        </w:rPr>
        <w:t>Nesidioblastosis (primary islet cell hypertrophy), neonatal hypoglycemia, and for monitoring blood glucose in non-diabetic persons</w:t>
      </w:r>
    </w:p>
    <w:p w14:paraId="77CC4ADE" w14:textId="77777777" w:rsidR="00580315" w:rsidRPr="00343A98" w:rsidRDefault="00580315" w:rsidP="00F60DB5">
      <w:pPr>
        <w:numPr>
          <w:ilvl w:val="0"/>
          <w:numId w:val="13"/>
        </w:numPr>
        <w:spacing w:after="0" w:line="240" w:lineRule="auto"/>
        <w:rPr>
          <w:rFonts w:ascii="Arial" w:hAnsi="Arial" w:cs="Arial"/>
          <w:bCs/>
          <w:sz w:val="20"/>
          <w:szCs w:val="20"/>
        </w:rPr>
      </w:pPr>
      <w:r w:rsidRPr="00343A98">
        <w:rPr>
          <w:rFonts w:ascii="Arial" w:hAnsi="Arial" w:cs="Arial"/>
          <w:bCs/>
          <w:sz w:val="20"/>
          <w:szCs w:val="20"/>
        </w:rPr>
        <w:t xml:space="preserve">Personal Digital Assistant-Based Blood Glucose Monitor (e.g., </w:t>
      </w:r>
      <w:proofErr w:type="spellStart"/>
      <w:r w:rsidRPr="00343A98">
        <w:rPr>
          <w:rFonts w:ascii="Arial" w:hAnsi="Arial" w:cs="Arial"/>
          <w:bCs/>
          <w:sz w:val="20"/>
          <w:szCs w:val="20"/>
        </w:rPr>
        <w:t>TheraSense</w:t>
      </w:r>
      <w:proofErr w:type="spellEnd"/>
      <w:r w:rsidRPr="00343A98">
        <w:rPr>
          <w:rFonts w:ascii="Arial" w:hAnsi="Arial" w:cs="Arial"/>
          <w:bCs/>
          <w:sz w:val="20"/>
          <w:szCs w:val="20"/>
        </w:rPr>
        <w:t xml:space="preserve"> </w:t>
      </w:r>
      <w:proofErr w:type="spellStart"/>
      <w:r w:rsidRPr="00343A98">
        <w:rPr>
          <w:rFonts w:ascii="Arial" w:hAnsi="Arial" w:cs="Arial"/>
          <w:bCs/>
          <w:sz w:val="20"/>
          <w:szCs w:val="20"/>
        </w:rPr>
        <w:t>FreeStyle</w:t>
      </w:r>
      <w:proofErr w:type="spellEnd"/>
      <w:r w:rsidRPr="00343A98">
        <w:rPr>
          <w:rFonts w:ascii="Arial" w:hAnsi="Arial" w:cs="Arial"/>
          <w:bCs/>
          <w:sz w:val="20"/>
          <w:szCs w:val="20"/>
        </w:rPr>
        <w:t xml:space="preserve"> Tracker, Accu-Check Advantage Module)</w:t>
      </w:r>
    </w:p>
    <w:p w14:paraId="73613010" w14:textId="77777777" w:rsidR="00580315" w:rsidRPr="00343A98" w:rsidRDefault="00580315" w:rsidP="00F60DB5">
      <w:pPr>
        <w:numPr>
          <w:ilvl w:val="0"/>
          <w:numId w:val="13"/>
        </w:numPr>
        <w:spacing w:after="0" w:line="240" w:lineRule="auto"/>
        <w:rPr>
          <w:rFonts w:ascii="Arial" w:hAnsi="Arial" w:cs="Arial"/>
          <w:bCs/>
          <w:sz w:val="20"/>
          <w:szCs w:val="20"/>
        </w:rPr>
      </w:pPr>
      <w:r w:rsidRPr="00343A98">
        <w:rPr>
          <w:rFonts w:ascii="Arial" w:hAnsi="Arial" w:cs="Arial"/>
          <w:bCs/>
          <w:sz w:val="20"/>
          <w:szCs w:val="20"/>
        </w:rPr>
        <w:t xml:space="preserve">Remote glucose monitoring device (e.g., </w:t>
      </w:r>
      <w:proofErr w:type="spellStart"/>
      <w:r w:rsidRPr="00343A98">
        <w:rPr>
          <w:rFonts w:ascii="Arial" w:hAnsi="Arial" w:cs="Arial"/>
          <w:bCs/>
          <w:sz w:val="20"/>
          <w:szCs w:val="20"/>
        </w:rPr>
        <w:t>mySentry</w:t>
      </w:r>
      <w:proofErr w:type="spellEnd"/>
      <w:r w:rsidRPr="00343A98">
        <w:rPr>
          <w:rFonts w:ascii="Arial" w:hAnsi="Arial" w:cs="Arial"/>
          <w:bCs/>
          <w:sz w:val="20"/>
          <w:szCs w:val="20"/>
        </w:rPr>
        <w:t xml:space="preserve">, </w:t>
      </w:r>
      <w:proofErr w:type="spellStart"/>
      <w:r w:rsidRPr="00343A98">
        <w:rPr>
          <w:rFonts w:ascii="Arial" w:hAnsi="Arial" w:cs="Arial"/>
          <w:bCs/>
          <w:sz w:val="20"/>
          <w:szCs w:val="20"/>
        </w:rPr>
        <w:t>MiniMed</w:t>
      </w:r>
      <w:proofErr w:type="spellEnd"/>
      <w:r w:rsidRPr="00343A98">
        <w:rPr>
          <w:rFonts w:ascii="Arial" w:hAnsi="Arial" w:cs="Arial"/>
          <w:bCs/>
          <w:sz w:val="20"/>
          <w:szCs w:val="20"/>
        </w:rPr>
        <w:t xml:space="preserve"> Connect, Dexcom SHARE)</w:t>
      </w:r>
    </w:p>
    <w:p w14:paraId="727DDB1B" w14:textId="77777777" w:rsidR="00114BD1" w:rsidRPr="00343A98" w:rsidRDefault="00114BD1" w:rsidP="00114BD1">
      <w:pPr>
        <w:spacing w:after="0" w:line="240" w:lineRule="auto"/>
        <w:rPr>
          <w:rFonts w:ascii="Arial" w:hAnsi="Arial" w:cs="Arial"/>
          <w:sz w:val="20"/>
          <w:szCs w:val="20"/>
          <w:highlight w:val="yellow"/>
        </w:rPr>
      </w:pPr>
    </w:p>
    <w:p w14:paraId="614BA067" w14:textId="77777777" w:rsidR="0050599D" w:rsidRPr="00343A98" w:rsidRDefault="0050599D" w:rsidP="0050599D">
      <w:pPr>
        <w:spacing w:after="0" w:line="312" w:lineRule="atLeast"/>
        <w:rPr>
          <w:rFonts w:ascii="Arial" w:eastAsia="Times New Roman" w:hAnsi="Arial" w:cs="Arial"/>
          <w:color w:val="000000"/>
          <w:sz w:val="20"/>
          <w:szCs w:val="20"/>
        </w:rPr>
      </w:pPr>
      <w:r w:rsidRPr="00343A98">
        <w:rPr>
          <w:rFonts w:ascii="Arial" w:eastAsia="Times New Roman" w:hAnsi="Arial" w:cs="Arial"/>
          <w:color w:val="000000"/>
          <w:sz w:val="20"/>
          <w:szCs w:val="20"/>
        </w:rPr>
        <w:lastRenderedPageBreak/>
        <w:t>Authorization request is limited to the following. Requests for equipment outside of recommended utilization must have supporting documentation:</w:t>
      </w:r>
    </w:p>
    <w:p w14:paraId="2D558A87" w14:textId="77777777" w:rsidR="0050599D" w:rsidRPr="00343A98" w:rsidRDefault="0050599D" w:rsidP="00F60DB5">
      <w:pPr>
        <w:numPr>
          <w:ilvl w:val="0"/>
          <w:numId w:val="10"/>
        </w:numPr>
        <w:spacing w:after="0" w:line="312" w:lineRule="atLeast"/>
        <w:rPr>
          <w:rFonts w:ascii="Arial" w:eastAsia="Times New Roman" w:hAnsi="Arial" w:cs="Arial"/>
          <w:color w:val="000000"/>
          <w:sz w:val="20"/>
          <w:szCs w:val="20"/>
        </w:rPr>
      </w:pPr>
      <w:r w:rsidRPr="00343A98">
        <w:rPr>
          <w:rFonts w:ascii="Arial" w:eastAsia="Times New Roman" w:hAnsi="Arial" w:cs="Arial"/>
          <w:color w:val="000000"/>
          <w:sz w:val="20"/>
          <w:szCs w:val="20"/>
        </w:rPr>
        <w:t>For Dexcom: 3 sensors per 30 days, 1 transmitter per 90 days</w:t>
      </w:r>
    </w:p>
    <w:p w14:paraId="45B0213A" w14:textId="77777777" w:rsidR="0050599D" w:rsidRPr="00343A98" w:rsidRDefault="0050599D" w:rsidP="00F60DB5">
      <w:pPr>
        <w:numPr>
          <w:ilvl w:val="0"/>
          <w:numId w:val="10"/>
        </w:numPr>
        <w:spacing w:after="0" w:line="312" w:lineRule="atLeast"/>
        <w:rPr>
          <w:rFonts w:ascii="Arial" w:eastAsia="Times New Roman" w:hAnsi="Arial" w:cs="Arial"/>
          <w:color w:val="000000"/>
          <w:sz w:val="20"/>
          <w:szCs w:val="20"/>
        </w:rPr>
      </w:pPr>
      <w:r w:rsidRPr="00343A98">
        <w:rPr>
          <w:rFonts w:ascii="Arial" w:eastAsia="Times New Roman" w:hAnsi="Arial" w:cs="Arial"/>
          <w:color w:val="000000"/>
          <w:sz w:val="20"/>
          <w:szCs w:val="20"/>
        </w:rPr>
        <w:t>For Freestyle: 2 sensors per 28 days</w:t>
      </w:r>
    </w:p>
    <w:p w14:paraId="10F79327" w14:textId="77777777" w:rsidR="0050599D" w:rsidRPr="00343A98" w:rsidRDefault="0050599D" w:rsidP="00F60DB5">
      <w:pPr>
        <w:numPr>
          <w:ilvl w:val="0"/>
          <w:numId w:val="10"/>
        </w:numPr>
        <w:spacing w:after="0" w:line="312" w:lineRule="atLeast"/>
        <w:rPr>
          <w:rFonts w:ascii="Arial" w:eastAsia="Times New Roman" w:hAnsi="Arial" w:cs="Arial"/>
          <w:color w:val="000000"/>
          <w:sz w:val="20"/>
          <w:szCs w:val="20"/>
        </w:rPr>
      </w:pPr>
      <w:r w:rsidRPr="00343A98">
        <w:rPr>
          <w:rFonts w:ascii="Arial" w:eastAsia="Times New Roman" w:hAnsi="Arial" w:cs="Arial"/>
          <w:color w:val="000000"/>
          <w:sz w:val="20"/>
          <w:szCs w:val="20"/>
        </w:rPr>
        <w:t>Other FDA approved CGM system</w:t>
      </w:r>
    </w:p>
    <w:p w14:paraId="04D4F3EC" w14:textId="77777777" w:rsidR="0050599D" w:rsidRPr="00343A98" w:rsidRDefault="0050599D" w:rsidP="00E74D4A">
      <w:pPr>
        <w:rPr>
          <w:rFonts w:ascii="Arial" w:hAnsi="Arial" w:cs="Arial"/>
          <w:sz w:val="20"/>
          <w:szCs w:val="20"/>
          <w:highlight w:val="yellow"/>
        </w:rPr>
      </w:pPr>
    </w:p>
    <w:p w14:paraId="789E5369" w14:textId="77777777" w:rsidR="00580315" w:rsidRPr="00343A98" w:rsidRDefault="0050599D" w:rsidP="00E74D4A">
      <w:pPr>
        <w:rPr>
          <w:rFonts w:ascii="Arial" w:hAnsi="Arial" w:cs="Arial"/>
          <w:sz w:val="20"/>
          <w:szCs w:val="20"/>
        </w:rPr>
      </w:pPr>
      <w:r w:rsidRPr="00343A98">
        <w:rPr>
          <w:rFonts w:ascii="Arial" w:hAnsi="Arial" w:cs="Arial"/>
          <w:sz w:val="20"/>
          <w:szCs w:val="20"/>
        </w:rPr>
        <w:t>Continuous Glucose Monitoring Systems are considered not medically necessary for any use other than those indicated in clinical criteria.</w:t>
      </w:r>
    </w:p>
    <w:p w14:paraId="6CF2E990" w14:textId="77777777" w:rsidR="00E20ECB" w:rsidRPr="00343A98" w:rsidRDefault="00246265" w:rsidP="00343A98">
      <w:pPr>
        <w:spacing w:line="240" w:lineRule="auto"/>
        <w:rPr>
          <w:rFonts w:ascii="Georgia" w:eastAsia="Times New Roman" w:hAnsi="Georgia" w:cs="Calibri"/>
          <w:b/>
          <w:bCs/>
          <w:sz w:val="28"/>
          <w:szCs w:val="28"/>
          <w:u w:val="single"/>
        </w:rPr>
      </w:pPr>
      <w:r w:rsidRPr="00343A98">
        <w:rPr>
          <w:rFonts w:ascii="Georgia" w:eastAsia="Times New Roman" w:hAnsi="Georgia" w:cs="Calibri"/>
          <w:b/>
          <w:bCs/>
          <w:sz w:val="28"/>
          <w:szCs w:val="28"/>
          <w:u w:val="single"/>
        </w:rPr>
        <w:t>Document History:</w:t>
      </w:r>
      <w:r w:rsidR="003B6737" w:rsidRPr="00343A98">
        <w:rPr>
          <w:rFonts w:ascii="Georgia" w:eastAsia="Times New Roman" w:hAnsi="Georgia" w:cs="Calibri"/>
          <w:b/>
          <w:bCs/>
          <w:sz w:val="28"/>
          <w:szCs w:val="28"/>
          <w:u w:val="single"/>
        </w:rPr>
        <w:t xml:space="preserve"> </w:t>
      </w:r>
    </w:p>
    <w:p w14:paraId="3DF7346C" w14:textId="77777777" w:rsidR="00246265" w:rsidRPr="00343A98" w:rsidRDefault="00246265" w:rsidP="00763594">
      <w:pPr>
        <w:spacing w:after="0"/>
        <w:ind w:firstLine="360"/>
        <w:rPr>
          <w:rFonts w:ascii="Arial" w:hAnsi="Arial" w:cs="Arial"/>
          <w:sz w:val="20"/>
          <w:szCs w:val="20"/>
        </w:rPr>
      </w:pPr>
      <w:r w:rsidRPr="00343A98">
        <w:rPr>
          <w:rFonts w:ascii="Arial" w:hAnsi="Arial" w:cs="Arial"/>
          <w:sz w:val="20"/>
          <w:szCs w:val="20"/>
        </w:rPr>
        <w:t>Revised Dates:</w:t>
      </w:r>
    </w:p>
    <w:p w14:paraId="4FA2D77E" w14:textId="77777777" w:rsidR="00F60DB5" w:rsidRPr="00343A98" w:rsidRDefault="00F60DB5" w:rsidP="00763594">
      <w:pPr>
        <w:spacing w:after="0"/>
        <w:ind w:firstLine="720"/>
        <w:rPr>
          <w:rFonts w:ascii="Arial" w:hAnsi="Arial" w:cs="Arial"/>
          <w:sz w:val="20"/>
          <w:szCs w:val="20"/>
        </w:rPr>
      </w:pPr>
      <w:r w:rsidRPr="00343A98">
        <w:rPr>
          <w:rFonts w:ascii="Arial" w:hAnsi="Arial" w:cs="Arial"/>
          <w:sz w:val="20"/>
          <w:szCs w:val="20"/>
        </w:rPr>
        <w:t xml:space="preserve">2025: January – Procedure codes updated to align with changes in service authorization. </w:t>
      </w:r>
    </w:p>
    <w:p w14:paraId="3531E8D2" w14:textId="77777777" w:rsidR="0050599D" w:rsidRPr="00343A98" w:rsidRDefault="0050599D" w:rsidP="00763594">
      <w:pPr>
        <w:spacing w:after="0"/>
        <w:ind w:firstLine="720"/>
        <w:rPr>
          <w:rFonts w:ascii="Arial" w:hAnsi="Arial" w:cs="Arial"/>
          <w:sz w:val="20"/>
          <w:szCs w:val="20"/>
        </w:rPr>
      </w:pPr>
      <w:r w:rsidRPr="00343A98">
        <w:rPr>
          <w:rFonts w:ascii="Arial" w:hAnsi="Arial" w:cs="Arial"/>
          <w:sz w:val="20"/>
          <w:szCs w:val="20"/>
        </w:rPr>
        <w:t xml:space="preserve">2024: </w:t>
      </w:r>
      <w:r w:rsidR="00BB5551" w:rsidRPr="00343A98">
        <w:rPr>
          <w:rFonts w:ascii="Arial" w:hAnsi="Arial" w:cs="Arial"/>
          <w:sz w:val="20"/>
          <w:szCs w:val="20"/>
        </w:rPr>
        <w:t>July – criteria updated references updated</w:t>
      </w:r>
    </w:p>
    <w:p w14:paraId="56BD9748" w14:textId="77777777" w:rsidR="007E399C" w:rsidRPr="00343A98" w:rsidRDefault="007E399C" w:rsidP="00763594">
      <w:pPr>
        <w:spacing w:after="0"/>
        <w:ind w:firstLine="720"/>
        <w:rPr>
          <w:rFonts w:ascii="Arial" w:hAnsi="Arial" w:cs="Arial"/>
          <w:sz w:val="20"/>
          <w:szCs w:val="20"/>
        </w:rPr>
      </w:pPr>
      <w:r w:rsidRPr="00343A98">
        <w:rPr>
          <w:rFonts w:ascii="Arial" w:hAnsi="Arial" w:cs="Arial"/>
          <w:sz w:val="20"/>
          <w:szCs w:val="20"/>
        </w:rPr>
        <w:t>2023:</w:t>
      </w:r>
      <w:r w:rsidR="00332527" w:rsidRPr="00343A98">
        <w:rPr>
          <w:rFonts w:ascii="Arial" w:hAnsi="Arial" w:cs="Arial"/>
          <w:sz w:val="20"/>
          <w:szCs w:val="20"/>
        </w:rPr>
        <w:t xml:space="preserve"> </w:t>
      </w:r>
      <w:r w:rsidRPr="00343A98">
        <w:rPr>
          <w:rFonts w:ascii="Arial" w:hAnsi="Arial" w:cs="Arial"/>
          <w:sz w:val="20"/>
          <w:szCs w:val="20"/>
        </w:rPr>
        <w:t xml:space="preserve">July </w:t>
      </w:r>
    </w:p>
    <w:p w14:paraId="42617A93" w14:textId="77777777" w:rsidR="00FA75C1" w:rsidRPr="00343A98" w:rsidRDefault="00FA75C1" w:rsidP="00763594">
      <w:pPr>
        <w:spacing w:after="0"/>
        <w:ind w:firstLine="720"/>
        <w:rPr>
          <w:rFonts w:ascii="Arial" w:hAnsi="Arial" w:cs="Arial"/>
          <w:sz w:val="20"/>
          <w:szCs w:val="20"/>
        </w:rPr>
      </w:pPr>
      <w:r w:rsidRPr="00343A98">
        <w:rPr>
          <w:rFonts w:ascii="Arial" w:hAnsi="Arial" w:cs="Arial"/>
          <w:sz w:val="20"/>
          <w:szCs w:val="20"/>
        </w:rPr>
        <w:t>2021: August</w:t>
      </w:r>
    </w:p>
    <w:p w14:paraId="30A835F1" w14:textId="77777777" w:rsidR="00843BF3" w:rsidRPr="00343A98" w:rsidRDefault="00843BF3" w:rsidP="00763594">
      <w:pPr>
        <w:spacing w:after="0"/>
        <w:ind w:firstLine="720"/>
        <w:rPr>
          <w:rFonts w:ascii="Arial" w:hAnsi="Arial" w:cs="Arial"/>
          <w:sz w:val="20"/>
          <w:szCs w:val="20"/>
        </w:rPr>
      </w:pPr>
      <w:r w:rsidRPr="00343A98">
        <w:rPr>
          <w:rFonts w:ascii="Arial" w:hAnsi="Arial" w:cs="Arial"/>
          <w:sz w:val="20"/>
          <w:szCs w:val="20"/>
        </w:rPr>
        <w:t>2020: January</w:t>
      </w:r>
    </w:p>
    <w:p w14:paraId="402A1E8A" w14:textId="77777777" w:rsidR="00CB795C" w:rsidRPr="00343A98" w:rsidRDefault="00CB795C" w:rsidP="00763594">
      <w:pPr>
        <w:spacing w:after="0"/>
        <w:ind w:firstLine="720"/>
        <w:rPr>
          <w:rFonts w:ascii="Arial" w:hAnsi="Arial" w:cs="Arial"/>
          <w:sz w:val="20"/>
          <w:szCs w:val="20"/>
        </w:rPr>
      </w:pPr>
      <w:r w:rsidRPr="00343A98">
        <w:rPr>
          <w:rFonts w:ascii="Arial" w:hAnsi="Arial" w:cs="Arial"/>
          <w:sz w:val="20"/>
          <w:szCs w:val="20"/>
        </w:rPr>
        <w:t>2019: September</w:t>
      </w:r>
    </w:p>
    <w:p w14:paraId="2AE2729E" w14:textId="77777777" w:rsidR="005E3660" w:rsidRPr="00343A98" w:rsidRDefault="005E3660" w:rsidP="00763594">
      <w:pPr>
        <w:spacing w:after="0"/>
        <w:ind w:firstLine="720"/>
        <w:rPr>
          <w:rFonts w:ascii="Arial" w:hAnsi="Arial" w:cs="Arial"/>
          <w:sz w:val="20"/>
          <w:szCs w:val="20"/>
        </w:rPr>
      </w:pPr>
      <w:r w:rsidRPr="00343A98">
        <w:rPr>
          <w:rFonts w:ascii="Arial" w:hAnsi="Arial" w:cs="Arial"/>
          <w:sz w:val="20"/>
          <w:szCs w:val="20"/>
        </w:rPr>
        <w:t>2016:</w:t>
      </w:r>
      <w:r w:rsidR="006A6445" w:rsidRPr="00343A98">
        <w:rPr>
          <w:rFonts w:ascii="Arial" w:hAnsi="Arial" w:cs="Arial"/>
          <w:sz w:val="20"/>
          <w:szCs w:val="20"/>
        </w:rPr>
        <w:t xml:space="preserve"> January, November</w:t>
      </w:r>
    </w:p>
    <w:p w14:paraId="4C53F31C" w14:textId="77777777" w:rsidR="005E3660" w:rsidRPr="00343A98" w:rsidRDefault="005E3660" w:rsidP="00763594">
      <w:pPr>
        <w:spacing w:after="0"/>
        <w:ind w:firstLine="720"/>
        <w:rPr>
          <w:rFonts w:ascii="Arial" w:hAnsi="Arial" w:cs="Arial"/>
          <w:sz w:val="20"/>
          <w:szCs w:val="20"/>
        </w:rPr>
      </w:pPr>
      <w:r w:rsidRPr="00343A98">
        <w:rPr>
          <w:rFonts w:ascii="Arial" w:hAnsi="Arial" w:cs="Arial"/>
          <w:sz w:val="20"/>
          <w:szCs w:val="20"/>
        </w:rPr>
        <w:t>2015:</w:t>
      </w:r>
      <w:r w:rsidR="006A6445" w:rsidRPr="00343A98">
        <w:rPr>
          <w:rFonts w:ascii="Arial" w:hAnsi="Arial" w:cs="Arial"/>
          <w:sz w:val="20"/>
          <w:szCs w:val="20"/>
        </w:rPr>
        <w:t xml:space="preserve"> August, October, November</w:t>
      </w:r>
    </w:p>
    <w:p w14:paraId="4BA25F99" w14:textId="77777777" w:rsidR="005E3660" w:rsidRPr="00343A98" w:rsidRDefault="005E3660" w:rsidP="00763594">
      <w:pPr>
        <w:spacing w:after="0"/>
        <w:ind w:firstLine="720"/>
        <w:rPr>
          <w:rFonts w:ascii="Arial" w:hAnsi="Arial" w:cs="Arial"/>
          <w:sz w:val="20"/>
          <w:szCs w:val="20"/>
        </w:rPr>
      </w:pPr>
      <w:r w:rsidRPr="00343A98">
        <w:rPr>
          <w:rFonts w:ascii="Arial" w:hAnsi="Arial" w:cs="Arial"/>
          <w:sz w:val="20"/>
          <w:szCs w:val="20"/>
        </w:rPr>
        <w:t>2014:</w:t>
      </w:r>
      <w:r w:rsidR="006A6445" w:rsidRPr="00343A98">
        <w:rPr>
          <w:rFonts w:ascii="Arial" w:hAnsi="Arial" w:cs="Arial"/>
          <w:sz w:val="20"/>
          <w:szCs w:val="20"/>
        </w:rPr>
        <w:t xml:space="preserve"> March, August, October</w:t>
      </w:r>
    </w:p>
    <w:p w14:paraId="2F3A5609" w14:textId="77777777" w:rsidR="005E3660" w:rsidRPr="00343A98" w:rsidRDefault="005E3660" w:rsidP="00763594">
      <w:pPr>
        <w:spacing w:after="0"/>
        <w:ind w:firstLine="720"/>
        <w:rPr>
          <w:rFonts w:ascii="Arial" w:hAnsi="Arial" w:cs="Arial"/>
          <w:sz w:val="20"/>
          <w:szCs w:val="20"/>
        </w:rPr>
      </w:pPr>
      <w:r w:rsidRPr="00343A98">
        <w:rPr>
          <w:rFonts w:ascii="Arial" w:hAnsi="Arial" w:cs="Arial"/>
          <w:sz w:val="20"/>
          <w:szCs w:val="20"/>
        </w:rPr>
        <w:t>2013:</w:t>
      </w:r>
      <w:r w:rsidR="006A6445" w:rsidRPr="00343A98">
        <w:rPr>
          <w:rFonts w:ascii="Arial" w:hAnsi="Arial" w:cs="Arial"/>
          <w:sz w:val="20"/>
          <w:szCs w:val="20"/>
        </w:rPr>
        <w:t xml:space="preserve"> April, March, October</w:t>
      </w:r>
    </w:p>
    <w:p w14:paraId="6C036EDC" w14:textId="77777777" w:rsidR="006A6445" w:rsidRPr="00343A98" w:rsidRDefault="006A6445" w:rsidP="00763594">
      <w:pPr>
        <w:spacing w:after="0"/>
        <w:ind w:firstLine="720"/>
        <w:rPr>
          <w:rFonts w:ascii="Arial" w:hAnsi="Arial" w:cs="Arial"/>
          <w:sz w:val="20"/>
          <w:szCs w:val="20"/>
        </w:rPr>
      </w:pPr>
      <w:r w:rsidRPr="00343A98">
        <w:rPr>
          <w:rFonts w:ascii="Arial" w:hAnsi="Arial" w:cs="Arial"/>
          <w:sz w:val="20"/>
          <w:szCs w:val="20"/>
        </w:rPr>
        <w:t>2012: June, November</w:t>
      </w:r>
    </w:p>
    <w:p w14:paraId="5AC0D4B9" w14:textId="77777777" w:rsidR="006A6445" w:rsidRPr="00343A98" w:rsidRDefault="006A6445" w:rsidP="00763594">
      <w:pPr>
        <w:spacing w:after="0"/>
        <w:ind w:firstLine="720"/>
        <w:rPr>
          <w:rFonts w:ascii="Arial" w:hAnsi="Arial" w:cs="Arial"/>
          <w:sz w:val="20"/>
          <w:szCs w:val="20"/>
        </w:rPr>
      </w:pPr>
      <w:r w:rsidRPr="00343A98">
        <w:rPr>
          <w:rFonts w:ascii="Arial" w:hAnsi="Arial" w:cs="Arial"/>
          <w:sz w:val="20"/>
          <w:szCs w:val="20"/>
        </w:rPr>
        <w:t>2011: June</w:t>
      </w:r>
    </w:p>
    <w:p w14:paraId="32AD9F24" w14:textId="77777777" w:rsidR="006A6445" w:rsidRPr="00343A98" w:rsidRDefault="006A6445" w:rsidP="00246265">
      <w:pPr>
        <w:ind w:firstLine="720"/>
        <w:rPr>
          <w:rFonts w:ascii="Arial" w:hAnsi="Arial" w:cs="Arial"/>
          <w:sz w:val="20"/>
          <w:szCs w:val="20"/>
        </w:rPr>
      </w:pPr>
      <w:r w:rsidRPr="00343A98">
        <w:rPr>
          <w:rFonts w:ascii="Arial" w:hAnsi="Arial" w:cs="Arial"/>
          <w:sz w:val="20"/>
          <w:szCs w:val="20"/>
        </w:rPr>
        <w:t>2008: March, October</w:t>
      </w:r>
    </w:p>
    <w:p w14:paraId="49BEEB10" w14:textId="77777777" w:rsidR="00246265" w:rsidRPr="00343A98" w:rsidRDefault="00246265" w:rsidP="00763594">
      <w:pPr>
        <w:spacing w:after="0"/>
        <w:ind w:firstLine="360"/>
        <w:rPr>
          <w:rFonts w:ascii="Arial" w:hAnsi="Arial" w:cs="Arial"/>
          <w:sz w:val="20"/>
          <w:szCs w:val="20"/>
        </w:rPr>
      </w:pPr>
      <w:r w:rsidRPr="00343A98">
        <w:rPr>
          <w:rFonts w:ascii="Arial" w:hAnsi="Arial" w:cs="Arial"/>
          <w:sz w:val="20"/>
          <w:szCs w:val="20"/>
        </w:rPr>
        <w:t>Reviewed Dates:</w:t>
      </w:r>
    </w:p>
    <w:p w14:paraId="23A335CA" w14:textId="1EA35DB7" w:rsidR="001C6BD0" w:rsidRDefault="00343A98" w:rsidP="00763594">
      <w:pPr>
        <w:spacing w:after="0"/>
        <w:ind w:firstLine="360"/>
        <w:rPr>
          <w:rFonts w:ascii="Arial" w:hAnsi="Arial" w:cs="Arial"/>
          <w:sz w:val="20"/>
          <w:szCs w:val="20"/>
        </w:rPr>
      </w:pPr>
      <w:r w:rsidRPr="00343A98">
        <w:rPr>
          <w:rFonts w:ascii="Arial" w:hAnsi="Arial" w:cs="Arial"/>
          <w:sz w:val="20"/>
          <w:szCs w:val="20"/>
        </w:rPr>
        <w:tab/>
      </w:r>
      <w:r w:rsidR="001C6BD0" w:rsidRPr="001C6BD0">
        <w:rPr>
          <w:rFonts w:ascii="Arial" w:hAnsi="Arial" w:cs="Arial"/>
          <w:sz w:val="20"/>
          <w:szCs w:val="20"/>
          <w:highlight w:val="yellow"/>
        </w:rPr>
        <w:t>2025: September – Implementation date of January 1, 2026. No changes references updated.</w:t>
      </w:r>
      <w:r w:rsidR="001C6BD0">
        <w:rPr>
          <w:rFonts w:ascii="Arial" w:hAnsi="Arial" w:cs="Arial"/>
          <w:sz w:val="20"/>
          <w:szCs w:val="20"/>
        </w:rPr>
        <w:t xml:space="preserve"> </w:t>
      </w:r>
    </w:p>
    <w:p w14:paraId="3C4CAD7D" w14:textId="2A83F6E3" w:rsidR="00343A98" w:rsidRPr="001C6BD0" w:rsidRDefault="00343A98" w:rsidP="001C6BD0">
      <w:pPr>
        <w:spacing w:after="0"/>
        <w:ind w:firstLine="720"/>
        <w:rPr>
          <w:rFonts w:ascii="Arial" w:hAnsi="Arial" w:cs="Arial"/>
          <w:sz w:val="20"/>
          <w:szCs w:val="20"/>
        </w:rPr>
      </w:pPr>
      <w:r w:rsidRPr="001C6BD0">
        <w:rPr>
          <w:rFonts w:ascii="Arial" w:hAnsi="Arial" w:cs="Arial"/>
          <w:sz w:val="20"/>
          <w:szCs w:val="20"/>
        </w:rPr>
        <w:t xml:space="preserve">2025: June – Implementation date of September 1, 2025. No change references updated. </w:t>
      </w:r>
    </w:p>
    <w:p w14:paraId="64A864BB" w14:textId="77777777" w:rsidR="009C4F87" w:rsidRPr="00343A98" w:rsidRDefault="009C4F87" w:rsidP="00763594">
      <w:pPr>
        <w:spacing w:after="0"/>
        <w:ind w:firstLine="720"/>
        <w:rPr>
          <w:rFonts w:ascii="Arial" w:hAnsi="Arial" w:cs="Arial"/>
          <w:sz w:val="20"/>
          <w:szCs w:val="20"/>
        </w:rPr>
      </w:pPr>
      <w:r w:rsidRPr="001C6BD0">
        <w:rPr>
          <w:rFonts w:ascii="Arial" w:hAnsi="Arial" w:cs="Arial"/>
          <w:sz w:val="20"/>
          <w:szCs w:val="20"/>
        </w:rPr>
        <w:t>2022: July</w:t>
      </w:r>
    </w:p>
    <w:p w14:paraId="2B2D4F59" w14:textId="77777777" w:rsidR="00ED1004" w:rsidRPr="00343A98" w:rsidRDefault="00ED1004" w:rsidP="00763594">
      <w:pPr>
        <w:spacing w:after="0"/>
        <w:ind w:firstLine="720"/>
        <w:rPr>
          <w:rFonts w:ascii="Arial" w:hAnsi="Arial" w:cs="Arial"/>
          <w:sz w:val="20"/>
          <w:szCs w:val="20"/>
        </w:rPr>
      </w:pPr>
      <w:r w:rsidRPr="00343A98">
        <w:rPr>
          <w:rFonts w:ascii="Arial" w:hAnsi="Arial" w:cs="Arial"/>
          <w:sz w:val="20"/>
          <w:szCs w:val="20"/>
        </w:rPr>
        <w:t>2020: August</w:t>
      </w:r>
    </w:p>
    <w:p w14:paraId="0449D503" w14:textId="77777777" w:rsidR="00CB795C" w:rsidRPr="00343A98" w:rsidRDefault="00CB795C" w:rsidP="00763594">
      <w:pPr>
        <w:spacing w:after="0"/>
        <w:ind w:firstLine="720"/>
        <w:rPr>
          <w:rFonts w:ascii="Arial" w:hAnsi="Arial" w:cs="Arial"/>
          <w:sz w:val="20"/>
          <w:szCs w:val="20"/>
          <w:highlight w:val="yellow"/>
        </w:rPr>
      </w:pPr>
      <w:r w:rsidRPr="00343A98">
        <w:rPr>
          <w:rFonts w:ascii="Arial" w:hAnsi="Arial" w:cs="Arial"/>
          <w:sz w:val="20"/>
          <w:szCs w:val="20"/>
        </w:rPr>
        <w:t>2019: March</w:t>
      </w:r>
    </w:p>
    <w:p w14:paraId="1F7D991A" w14:textId="77777777" w:rsidR="00D40CE5" w:rsidRPr="00343A98" w:rsidRDefault="00D40CE5" w:rsidP="00763594">
      <w:pPr>
        <w:spacing w:after="0"/>
        <w:ind w:firstLine="720"/>
        <w:rPr>
          <w:rFonts w:ascii="Arial" w:hAnsi="Arial" w:cs="Arial"/>
          <w:sz w:val="20"/>
          <w:szCs w:val="20"/>
        </w:rPr>
      </w:pPr>
      <w:r w:rsidRPr="00343A98">
        <w:rPr>
          <w:rFonts w:ascii="Arial" w:hAnsi="Arial" w:cs="Arial"/>
          <w:sz w:val="20"/>
          <w:szCs w:val="20"/>
        </w:rPr>
        <w:t>2018: July</w:t>
      </w:r>
    </w:p>
    <w:p w14:paraId="30673916" w14:textId="77777777" w:rsidR="00CD5347" w:rsidRPr="00343A98" w:rsidRDefault="00CD5347" w:rsidP="00763594">
      <w:pPr>
        <w:spacing w:after="0"/>
        <w:ind w:firstLine="720"/>
        <w:rPr>
          <w:rFonts w:ascii="Arial" w:hAnsi="Arial" w:cs="Arial"/>
          <w:sz w:val="20"/>
          <w:szCs w:val="20"/>
        </w:rPr>
      </w:pPr>
      <w:r w:rsidRPr="00343A98">
        <w:rPr>
          <w:rFonts w:ascii="Arial" w:hAnsi="Arial" w:cs="Arial"/>
          <w:sz w:val="20"/>
          <w:szCs w:val="20"/>
        </w:rPr>
        <w:t>2017: January</w:t>
      </w:r>
      <w:r w:rsidR="00D40CE5" w:rsidRPr="00343A98">
        <w:rPr>
          <w:rFonts w:ascii="Arial" w:hAnsi="Arial" w:cs="Arial"/>
          <w:sz w:val="20"/>
          <w:szCs w:val="20"/>
        </w:rPr>
        <w:t>, May</w:t>
      </w:r>
    </w:p>
    <w:p w14:paraId="0305D524" w14:textId="77777777" w:rsidR="005E3660" w:rsidRPr="00343A98" w:rsidRDefault="006A6445" w:rsidP="00763594">
      <w:pPr>
        <w:spacing w:after="0"/>
        <w:ind w:firstLine="720"/>
        <w:rPr>
          <w:rFonts w:ascii="Arial" w:hAnsi="Arial" w:cs="Arial"/>
          <w:sz w:val="20"/>
          <w:szCs w:val="20"/>
        </w:rPr>
      </w:pPr>
      <w:r w:rsidRPr="00343A98">
        <w:rPr>
          <w:rFonts w:ascii="Arial" w:hAnsi="Arial" w:cs="Arial"/>
          <w:sz w:val="20"/>
          <w:szCs w:val="20"/>
        </w:rPr>
        <w:t>2010</w:t>
      </w:r>
      <w:r w:rsidR="005E3660" w:rsidRPr="00343A98">
        <w:rPr>
          <w:rFonts w:ascii="Arial" w:hAnsi="Arial" w:cs="Arial"/>
          <w:sz w:val="20"/>
          <w:szCs w:val="20"/>
        </w:rPr>
        <w:t>:</w:t>
      </w:r>
      <w:r w:rsidRPr="00343A98">
        <w:rPr>
          <w:rFonts w:ascii="Arial" w:hAnsi="Arial" w:cs="Arial"/>
          <w:sz w:val="20"/>
          <w:szCs w:val="20"/>
        </w:rPr>
        <w:t xml:space="preserve"> May</w:t>
      </w:r>
    </w:p>
    <w:p w14:paraId="11CE78E2" w14:textId="77777777" w:rsidR="005E3660" w:rsidRPr="00343A98" w:rsidRDefault="006A6445" w:rsidP="00763594">
      <w:pPr>
        <w:spacing w:after="0"/>
        <w:ind w:firstLine="720"/>
        <w:rPr>
          <w:rFonts w:ascii="Arial" w:hAnsi="Arial" w:cs="Arial"/>
          <w:sz w:val="20"/>
          <w:szCs w:val="20"/>
        </w:rPr>
      </w:pPr>
      <w:r w:rsidRPr="00343A98">
        <w:rPr>
          <w:rFonts w:ascii="Arial" w:hAnsi="Arial" w:cs="Arial"/>
          <w:sz w:val="20"/>
          <w:szCs w:val="20"/>
        </w:rPr>
        <w:t>2009: May</w:t>
      </w:r>
    </w:p>
    <w:p w14:paraId="39002F6D" w14:textId="77777777" w:rsidR="005E3660" w:rsidRPr="00343A98" w:rsidRDefault="006A6445" w:rsidP="006A6445">
      <w:pPr>
        <w:ind w:firstLine="720"/>
        <w:rPr>
          <w:rFonts w:ascii="Arial" w:hAnsi="Arial" w:cs="Arial"/>
          <w:sz w:val="20"/>
          <w:szCs w:val="20"/>
        </w:rPr>
      </w:pPr>
      <w:r w:rsidRPr="00343A98">
        <w:rPr>
          <w:rFonts w:ascii="Arial" w:hAnsi="Arial" w:cs="Arial"/>
          <w:sz w:val="20"/>
          <w:szCs w:val="20"/>
        </w:rPr>
        <w:t>2007: October</w:t>
      </w:r>
    </w:p>
    <w:p w14:paraId="5728315A" w14:textId="77777777" w:rsidR="00246265" w:rsidRPr="00343A98" w:rsidRDefault="00343A98" w:rsidP="00763594">
      <w:pPr>
        <w:ind w:firstLine="360"/>
        <w:rPr>
          <w:rFonts w:ascii="Arial" w:hAnsi="Arial" w:cs="Arial"/>
          <w:sz w:val="20"/>
          <w:szCs w:val="20"/>
        </w:rPr>
      </w:pPr>
      <w:r w:rsidRPr="00343A98">
        <w:rPr>
          <w:rFonts w:ascii="Arial" w:hAnsi="Arial" w:cs="Arial"/>
          <w:sz w:val="20"/>
          <w:szCs w:val="20"/>
        </w:rPr>
        <w:t>Origination</w:t>
      </w:r>
      <w:r w:rsidR="00B430BE" w:rsidRPr="00343A98">
        <w:rPr>
          <w:rFonts w:ascii="Arial" w:hAnsi="Arial" w:cs="Arial"/>
          <w:sz w:val="20"/>
          <w:szCs w:val="20"/>
        </w:rPr>
        <w:t xml:space="preserve"> Date:</w:t>
      </w:r>
      <w:r w:rsidR="006A6445" w:rsidRPr="00343A98">
        <w:rPr>
          <w:rFonts w:ascii="Arial" w:hAnsi="Arial" w:cs="Arial"/>
          <w:sz w:val="20"/>
          <w:szCs w:val="20"/>
        </w:rPr>
        <w:t xml:space="preserve"> October 2007</w:t>
      </w:r>
    </w:p>
    <w:p w14:paraId="3BFA31D9" w14:textId="77777777" w:rsidR="00246265" w:rsidRPr="00343A98" w:rsidRDefault="00246265" w:rsidP="00343A98">
      <w:pPr>
        <w:spacing w:line="240" w:lineRule="auto"/>
        <w:rPr>
          <w:rFonts w:ascii="Georgia" w:eastAsia="Times New Roman" w:hAnsi="Georgia" w:cs="Calibri"/>
          <w:b/>
          <w:bCs/>
          <w:sz w:val="28"/>
          <w:szCs w:val="28"/>
          <w:u w:val="single"/>
        </w:rPr>
      </w:pPr>
      <w:r w:rsidRPr="00343A98">
        <w:rPr>
          <w:rFonts w:ascii="Georgia" w:eastAsia="Times New Roman" w:hAnsi="Georgia" w:cs="Calibri"/>
          <w:b/>
          <w:bCs/>
          <w:sz w:val="28"/>
          <w:szCs w:val="28"/>
          <w:u w:val="single"/>
        </w:rPr>
        <w:t>Coding Information</w:t>
      </w:r>
      <w:r w:rsidR="00405ED7" w:rsidRPr="00343A98">
        <w:rPr>
          <w:rFonts w:ascii="Georgia" w:eastAsia="Times New Roman" w:hAnsi="Georgia" w:cs="Calibri"/>
          <w:b/>
          <w:bCs/>
          <w:sz w:val="28"/>
          <w:szCs w:val="28"/>
          <w:u w:val="single"/>
        </w:rPr>
        <w:t>:</w:t>
      </w:r>
    </w:p>
    <w:p w14:paraId="085717BE" w14:textId="77777777" w:rsidR="00B430BE" w:rsidRPr="00343A98" w:rsidRDefault="00B430BE" w:rsidP="00B430BE">
      <w:pPr>
        <w:spacing w:after="0" w:line="240" w:lineRule="auto"/>
        <w:rPr>
          <w:rFonts w:ascii="Arial" w:eastAsia="Times New Roman" w:hAnsi="Arial" w:cs="Arial"/>
          <w:sz w:val="20"/>
          <w:szCs w:val="20"/>
        </w:rPr>
      </w:pPr>
      <w:r w:rsidRPr="00343A98">
        <w:rPr>
          <w:rFonts w:ascii="Arial" w:eastAsia="Times New Roman" w:hAnsi="Arial" w:cs="Arial"/>
          <w:sz w:val="20"/>
          <w:szCs w:val="20"/>
          <w:u w:val="single"/>
        </w:rPr>
        <w:t xml:space="preserve">CPT/HCPCS codes covered if policy criteria </w:t>
      </w:r>
      <w:proofErr w:type="gramStart"/>
      <w:r w:rsidRPr="00343A98">
        <w:rPr>
          <w:rFonts w:ascii="Arial" w:eastAsia="Times New Roman" w:hAnsi="Arial" w:cs="Arial"/>
          <w:sz w:val="20"/>
          <w:szCs w:val="20"/>
          <w:u w:val="single"/>
        </w:rPr>
        <w:t>is</w:t>
      </w:r>
      <w:proofErr w:type="gramEnd"/>
      <w:r w:rsidRPr="00343A98">
        <w:rPr>
          <w:rFonts w:ascii="Arial" w:eastAsia="Times New Roman" w:hAnsi="Arial" w:cs="Arial"/>
          <w:sz w:val="20"/>
          <w:szCs w:val="20"/>
          <w:u w:val="single"/>
        </w:rPr>
        <w:t xml:space="preserve"> met:</w:t>
      </w:r>
      <w:r w:rsidR="008A66C8" w:rsidRPr="00343A98">
        <w:rPr>
          <w:rFonts w:ascii="Arial" w:eastAsia="Times New Roman" w:hAnsi="Arial" w:cs="Arial"/>
          <w:sz w:val="20"/>
          <w:szCs w:val="20"/>
          <w:u w:val="single"/>
        </w:rPr>
        <w:t xml:space="preserve"> </w:t>
      </w:r>
    </w:p>
    <w:p w14:paraId="1036998F" w14:textId="77777777" w:rsidR="00564372" w:rsidRPr="00343A98" w:rsidRDefault="00564372" w:rsidP="00564372">
      <w:pPr>
        <w:spacing w:after="0" w:line="240" w:lineRule="auto"/>
        <w:ind w:left="720"/>
        <w:rPr>
          <w:rFonts w:ascii="Arial" w:eastAsia="Times New Roman" w:hAnsi="Arial" w:cs="Arial"/>
          <w:sz w:val="20"/>
          <w:szCs w:val="20"/>
        </w:rPr>
      </w:pPr>
      <w:r w:rsidRPr="00343A98">
        <w:rPr>
          <w:rFonts w:ascii="Arial" w:eastAsia="Times New Roman" w:hAnsi="Arial" w:cs="Arial"/>
          <w:sz w:val="20"/>
          <w:szCs w:val="20"/>
        </w:rPr>
        <w:t>0446T - Creation of subcutaneous pocket with insertion of implantable interstitial glucose sensor, including system activation and patient training</w:t>
      </w:r>
    </w:p>
    <w:p w14:paraId="19ADCC02" w14:textId="77777777" w:rsidR="00564372" w:rsidRPr="00343A98" w:rsidRDefault="00564372" w:rsidP="00564372">
      <w:pPr>
        <w:spacing w:after="0" w:line="240" w:lineRule="auto"/>
        <w:ind w:left="720"/>
        <w:rPr>
          <w:rFonts w:ascii="Arial" w:eastAsia="Times New Roman" w:hAnsi="Arial" w:cs="Arial"/>
          <w:sz w:val="20"/>
          <w:szCs w:val="20"/>
        </w:rPr>
      </w:pPr>
      <w:r w:rsidRPr="00343A98">
        <w:rPr>
          <w:rFonts w:ascii="Arial" w:eastAsia="Times New Roman" w:hAnsi="Arial" w:cs="Arial"/>
          <w:sz w:val="20"/>
          <w:szCs w:val="20"/>
        </w:rPr>
        <w:t>0447T - Removal of implantable interstitial glucose sensor from subcutaneous pocket via incision</w:t>
      </w:r>
    </w:p>
    <w:p w14:paraId="3B782006" w14:textId="77777777" w:rsidR="00564372" w:rsidRPr="00343A98" w:rsidRDefault="00564372" w:rsidP="00564372">
      <w:pPr>
        <w:spacing w:after="0" w:line="240" w:lineRule="auto"/>
        <w:ind w:left="720"/>
        <w:rPr>
          <w:rFonts w:ascii="Arial" w:eastAsia="Times New Roman" w:hAnsi="Arial" w:cs="Arial"/>
          <w:sz w:val="20"/>
          <w:szCs w:val="20"/>
        </w:rPr>
      </w:pPr>
      <w:r w:rsidRPr="00343A98">
        <w:rPr>
          <w:rFonts w:ascii="Arial" w:eastAsia="Times New Roman" w:hAnsi="Arial" w:cs="Arial"/>
          <w:sz w:val="20"/>
          <w:szCs w:val="20"/>
        </w:rPr>
        <w:t xml:space="preserve">0448T - Removal of implantable interstitial glucose sensor with creation of subcutaneous pocket at different anatomic </w:t>
      </w:r>
      <w:proofErr w:type="gramStart"/>
      <w:r w:rsidRPr="00343A98">
        <w:rPr>
          <w:rFonts w:ascii="Arial" w:eastAsia="Times New Roman" w:hAnsi="Arial" w:cs="Arial"/>
          <w:sz w:val="20"/>
          <w:szCs w:val="20"/>
        </w:rPr>
        <w:t>site</w:t>
      </w:r>
      <w:proofErr w:type="gramEnd"/>
      <w:r w:rsidRPr="00343A98">
        <w:rPr>
          <w:rFonts w:ascii="Arial" w:eastAsia="Times New Roman" w:hAnsi="Arial" w:cs="Arial"/>
          <w:sz w:val="20"/>
          <w:szCs w:val="20"/>
        </w:rPr>
        <w:t xml:space="preserve"> and insertion of new implantable sensor, including system activation</w:t>
      </w:r>
    </w:p>
    <w:p w14:paraId="0A7161F8" w14:textId="77777777" w:rsidR="009C31C6" w:rsidRPr="00343A98" w:rsidRDefault="009C31C6" w:rsidP="00137ECB">
      <w:pPr>
        <w:spacing w:after="0" w:line="240" w:lineRule="auto"/>
        <w:ind w:left="720"/>
        <w:rPr>
          <w:rFonts w:ascii="Arial" w:eastAsia="Times New Roman" w:hAnsi="Arial" w:cs="Arial"/>
          <w:sz w:val="20"/>
          <w:szCs w:val="20"/>
        </w:rPr>
      </w:pPr>
      <w:r w:rsidRPr="00343A98">
        <w:rPr>
          <w:rFonts w:ascii="Arial" w:eastAsia="Times New Roman" w:hAnsi="Arial" w:cs="Arial"/>
          <w:sz w:val="20"/>
          <w:szCs w:val="20"/>
        </w:rPr>
        <w:lastRenderedPageBreak/>
        <w:t xml:space="preserve">A4238 - Supply allowance for adjunctive continuous glucose monitor (CGM), </w:t>
      </w:r>
      <w:proofErr w:type="gramStart"/>
      <w:r w:rsidRPr="00343A98">
        <w:rPr>
          <w:rFonts w:ascii="Arial" w:eastAsia="Times New Roman" w:hAnsi="Arial" w:cs="Arial"/>
          <w:sz w:val="20"/>
          <w:szCs w:val="20"/>
        </w:rPr>
        <w:t>includes</w:t>
      </w:r>
      <w:proofErr w:type="gramEnd"/>
      <w:r w:rsidRPr="00343A98">
        <w:rPr>
          <w:rFonts w:ascii="Arial" w:eastAsia="Times New Roman" w:hAnsi="Arial" w:cs="Arial"/>
          <w:sz w:val="20"/>
          <w:szCs w:val="20"/>
        </w:rPr>
        <w:t xml:space="preserve"> all supplies and accessories, 1 month supply = 1 unit of service</w:t>
      </w:r>
    </w:p>
    <w:p w14:paraId="3AC82E20" w14:textId="77777777" w:rsidR="004C1AC1" w:rsidRPr="00343A98" w:rsidRDefault="004C1AC1" w:rsidP="001F0782">
      <w:pPr>
        <w:spacing w:after="0" w:line="240" w:lineRule="auto"/>
        <w:ind w:left="720"/>
        <w:rPr>
          <w:rFonts w:ascii="Arial" w:eastAsia="Times New Roman" w:hAnsi="Arial" w:cs="Arial"/>
          <w:sz w:val="20"/>
          <w:szCs w:val="20"/>
        </w:rPr>
      </w:pPr>
      <w:r w:rsidRPr="00343A98">
        <w:rPr>
          <w:rFonts w:ascii="Arial" w:eastAsia="Times New Roman" w:hAnsi="Arial" w:cs="Arial"/>
          <w:sz w:val="20"/>
          <w:szCs w:val="20"/>
          <w:highlight w:val="yellow"/>
        </w:rPr>
        <w:t>A4239 - Supply allowance for nonadjunctive, nonimplanted continuous glucose monitor (CGM), includes all supplies and accessories, 1 month supply = 1 unit of service (authorization required – effective 1/1/2025)</w:t>
      </w:r>
    </w:p>
    <w:p w14:paraId="2C9E62F5" w14:textId="77777777" w:rsidR="00CA6576" w:rsidRPr="00343A98" w:rsidRDefault="00CA6576" w:rsidP="001F0782">
      <w:pPr>
        <w:spacing w:after="0" w:line="240" w:lineRule="auto"/>
        <w:ind w:left="720"/>
        <w:rPr>
          <w:rFonts w:ascii="Arial" w:hAnsi="Arial" w:cs="Arial"/>
          <w:sz w:val="20"/>
          <w:szCs w:val="20"/>
        </w:rPr>
      </w:pPr>
      <w:r w:rsidRPr="00343A98">
        <w:rPr>
          <w:rFonts w:ascii="Arial" w:eastAsia="Times New Roman" w:hAnsi="Arial" w:cs="Arial"/>
          <w:sz w:val="20"/>
          <w:szCs w:val="20"/>
        </w:rPr>
        <w:t xml:space="preserve">A9276 - </w:t>
      </w:r>
      <w:r w:rsidRPr="00343A98">
        <w:rPr>
          <w:rFonts w:ascii="Arial" w:hAnsi="Arial" w:cs="Arial"/>
          <w:sz w:val="20"/>
          <w:szCs w:val="20"/>
        </w:rPr>
        <w:t>Sensor; invasive (e.g., subcutaneous), disposable, for use with interstitial continuous glucose monitoring system, 1 unit = 1 day supply</w:t>
      </w:r>
    </w:p>
    <w:p w14:paraId="534728F8" w14:textId="77777777" w:rsidR="00CA6576" w:rsidRPr="00343A98" w:rsidRDefault="00CA6576" w:rsidP="001F0782">
      <w:pPr>
        <w:spacing w:after="0" w:line="240" w:lineRule="auto"/>
        <w:ind w:left="720"/>
        <w:rPr>
          <w:rFonts w:ascii="Arial" w:hAnsi="Arial" w:cs="Arial"/>
          <w:sz w:val="20"/>
          <w:szCs w:val="20"/>
        </w:rPr>
      </w:pPr>
      <w:r w:rsidRPr="00343A98">
        <w:rPr>
          <w:rFonts w:ascii="Arial" w:hAnsi="Arial" w:cs="Arial"/>
          <w:sz w:val="20"/>
          <w:szCs w:val="20"/>
        </w:rPr>
        <w:t>A9277 - Transmitter; external, for use with interstitial continuous glucose monitoring system</w:t>
      </w:r>
    </w:p>
    <w:p w14:paraId="6BFB955F" w14:textId="77777777" w:rsidR="00CA6576" w:rsidRPr="00343A98" w:rsidRDefault="00CA6576" w:rsidP="001F0782">
      <w:pPr>
        <w:spacing w:after="0" w:line="240" w:lineRule="auto"/>
        <w:ind w:left="720"/>
        <w:rPr>
          <w:rFonts w:ascii="Arial" w:hAnsi="Arial" w:cs="Arial"/>
          <w:sz w:val="20"/>
          <w:szCs w:val="20"/>
        </w:rPr>
      </w:pPr>
      <w:r w:rsidRPr="00343A98">
        <w:rPr>
          <w:rFonts w:ascii="Arial" w:hAnsi="Arial" w:cs="Arial"/>
          <w:sz w:val="20"/>
          <w:szCs w:val="20"/>
        </w:rPr>
        <w:t>A9278 - Receiver (monitor); external, for use with interstitial continuous glucose monitoring system</w:t>
      </w:r>
    </w:p>
    <w:p w14:paraId="2D9E5134" w14:textId="77777777" w:rsidR="00CA6576" w:rsidRPr="00343A98" w:rsidRDefault="00CA6576" w:rsidP="001F0782">
      <w:pPr>
        <w:spacing w:after="0" w:line="240" w:lineRule="auto"/>
        <w:ind w:left="720"/>
        <w:rPr>
          <w:rFonts w:ascii="Arial" w:hAnsi="Arial" w:cs="Arial"/>
          <w:sz w:val="20"/>
          <w:szCs w:val="20"/>
        </w:rPr>
      </w:pPr>
      <w:r w:rsidRPr="00343A98">
        <w:rPr>
          <w:rFonts w:ascii="Arial" w:hAnsi="Arial" w:cs="Arial"/>
          <w:sz w:val="20"/>
          <w:szCs w:val="20"/>
        </w:rPr>
        <w:t>A9279 - Monitoring feature/device, stand-alone or integrated, any type, includes all accessories, components and electronics, not otherwise classified</w:t>
      </w:r>
    </w:p>
    <w:p w14:paraId="2D9DFCC0" w14:textId="77777777" w:rsidR="009C31C6" w:rsidRPr="00343A98" w:rsidRDefault="009C31C6" w:rsidP="001F0782">
      <w:pPr>
        <w:spacing w:after="0" w:line="240" w:lineRule="auto"/>
        <w:ind w:left="720"/>
        <w:rPr>
          <w:rFonts w:ascii="Arial" w:eastAsia="Times New Roman" w:hAnsi="Arial" w:cs="Arial"/>
          <w:sz w:val="20"/>
          <w:szCs w:val="20"/>
        </w:rPr>
      </w:pPr>
      <w:r w:rsidRPr="00343A98">
        <w:rPr>
          <w:rFonts w:ascii="Arial" w:eastAsia="Times New Roman" w:hAnsi="Arial" w:cs="Arial"/>
          <w:sz w:val="20"/>
          <w:szCs w:val="20"/>
          <w:highlight w:val="yellow"/>
        </w:rPr>
        <w:t>E2102 - Adjunctive continuous glucose monitor or receiver</w:t>
      </w:r>
      <w:r w:rsidR="007A7948" w:rsidRPr="00343A98">
        <w:rPr>
          <w:rFonts w:ascii="Arial" w:eastAsia="Times New Roman" w:hAnsi="Arial" w:cs="Arial"/>
          <w:sz w:val="20"/>
          <w:szCs w:val="20"/>
          <w:highlight w:val="yellow"/>
        </w:rPr>
        <w:t>(authorization required – effective 1/1/2025)</w:t>
      </w:r>
    </w:p>
    <w:p w14:paraId="20F628D2" w14:textId="77777777" w:rsidR="00BB053D" w:rsidRPr="00343A98" w:rsidRDefault="00BB053D" w:rsidP="001F0782">
      <w:pPr>
        <w:spacing w:after="0" w:line="240" w:lineRule="auto"/>
        <w:ind w:left="720"/>
        <w:rPr>
          <w:rFonts w:ascii="Arial" w:eastAsia="Times New Roman" w:hAnsi="Arial" w:cs="Arial"/>
          <w:sz w:val="20"/>
          <w:szCs w:val="20"/>
        </w:rPr>
      </w:pPr>
      <w:r w:rsidRPr="00343A98">
        <w:rPr>
          <w:rFonts w:ascii="Arial" w:eastAsia="Times New Roman" w:hAnsi="Arial" w:cs="Arial"/>
          <w:sz w:val="20"/>
          <w:szCs w:val="20"/>
          <w:highlight w:val="yellow"/>
        </w:rPr>
        <w:t xml:space="preserve">E2103 - </w:t>
      </w:r>
      <w:r w:rsidR="004D347B" w:rsidRPr="00343A98">
        <w:rPr>
          <w:rFonts w:ascii="Arial" w:eastAsia="Times New Roman" w:hAnsi="Arial" w:cs="Arial"/>
          <w:sz w:val="20"/>
          <w:szCs w:val="20"/>
          <w:highlight w:val="yellow"/>
        </w:rPr>
        <w:t>Nonadjunctive, nonimplanted continuous glucose monitor (CGM) or receiver</w:t>
      </w:r>
    </w:p>
    <w:p w14:paraId="1E88B651" w14:textId="77777777" w:rsidR="006E0F3A" w:rsidRPr="00343A98" w:rsidRDefault="006E0F3A" w:rsidP="001F0782">
      <w:pPr>
        <w:spacing w:after="0" w:line="240" w:lineRule="auto"/>
        <w:ind w:left="720"/>
        <w:rPr>
          <w:rFonts w:ascii="Arial" w:eastAsia="Times New Roman" w:hAnsi="Arial" w:cs="Arial"/>
          <w:strike/>
          <w:color w:val="EE0000"/>
          <w:sz w:val="20"/>
          <w:szCs w:val="20"/>
        </w:rPr>
      </w:pPr>
      <w:bookmarkStart w:id="11" w:name="_Hlk198647001"/>
      <w:r w:rsidRPr="00343A98">
        <w:rPr>
          <w:rFonts w:ascii="Arial" w:eastAsia="Times New Roman" w:hAnsi="Arial" w:cs="Arial"/>
          <w:strike/>
          <w:color w:val="EE0000"/>
          <w:sz w:val="20"/>
          <w:szCs w:val="20"/>
        </w:rPr>
        <w:t xml:space="preserve">E2104 </w:t>
      </w:r>
      <w:bookmarkEnd w:id="11"/>
      <w:r w:rsidRPr="00343A98">
        <w:rPr>
          <w:rFonts w:ascii="Arial" w:eastAsia="Times New Roman" w:hAnsi="Arial" w:cs="Arial"/>
          <w:strike/>
          <w:color w:val="EE0000"/>
          <w:sz w:val="20"/>
          <w:szCs w:val="20"/>
        </w:rPr>
        <w:t xml:space="preserve">- Home blood glucose </w:t>
      </w:r>
      <w:proofErr w:type="gramStart"/>
      <w:r w:rsidRPr="00343A98">
        <w:rPr>
          <w:rFonts w:ascii="Arial" w:eastAsia="Times New Roman" w:hAnsi="Arial" w:cs="Arial"/>
          <w:strike/>
          <w:color w:val="EE0000"/>
          <w:sz w:val="20"/>
          <w:szCs w:val="20"/>
        </w:rPr>
        <w:t>monitor</w:t>
      </w:r>
      <w:proofErr w:type="gramEnd"/>
      <w:r w:rsidRPr="00343A98">
        <w:rPr>
          <w:rFonts w:ascii="Arial" w:eastAsia="Times New Roman" w:hAnsi="Arial" w:cs="Arial"/>
          <w:strike/>
          <w:color w:val="EE0000"/>
          <w:sz w:val="20"/>
          <w:szCs w:val="20"/>
        </w:rPr>
        <w:t xml:space="preserve"> for use with integrated lancing/blood sample testing cartridge</w:t>
      </w:r>
    </w:p>
    <w:p w14:paraId="7DC6F379" w14:textId="77777777" w:rsidR="008B36DC" w:rsidRPr="00343A98" w:rsidRDefault="008B36DC" w:rsidP="001F0782">
      <w:pPr>
        <w:spacing w:after="0" w:line="240" w:lineRule="auto"/>
        <w:ind w:left="720"/>
        <w:rPr>
          <w:rFonts w:ascii="Arial" w:eastAsia="Times New Roman" w:hAnsi="Arial" w:cs="Arial"/>
          <w:sz w:val="20"/>
          <w:szCs w:val="20"/>
        </w:rPr>
      </w:pPr>
      <w:r w:rsidRPr="00343A98">
        <w:rPr>
          <w:rFonts w:ascii="Arial" w:eastAsia="Times New Roman" w:hAnsi="Arial" w:cs="Arial"/>
          <w:sz w:val="20"/>
          <w:szCs w:val="20"/>
        </w:rPr>
        <w:t xml:space="preserve">K0553 - Supply allowance for therapeutic continuous glucose monitor (CGM), </w:t>
      </w:r>
      <w:proofErr w:type="gramStart"/>
      <w:r w:rsidRPr="00343A98">
        <w:rPr>
          <w:rFonts w:ascii="Arial" w:eastAsia="Times New Roman" w:hAnsi="Arial" w:cs="Arial"/>
          <w:sz w:val="20"/>
          <w:szCs w:val="20"/>
        </w:rPr>
        <w:t>includes</w:t>
      </w:r>
      <w:proofErr w:type="gramEnd"/>
      <w:r w:rsidRPr="00343A98">
        <w:rPr>
          <w:rFonts w:ascii="Arial" w:eastAsia="Times New Roman" w:hAnsi="Arial" w:cs="Arial"/>
          <w:sz w:val="20"/>
          <w:szCs w:val="20"/>
        </w:rPr>
        <w:t xml:space="preserve"> all supplies and accessories, 1 month supply = 1 Unit of Service</w:t>
      </w:r>
      <w:r w:rsidRPr="00343A98">
        <w:rPr>
          <w:rFonts w:ascii="Arial" w:eastAsia="Times New Roman" w:hAnsi="Arial" w:cs="Arial"/>
          <w:sz w:val="20"/>
          <w:szCs w:val="20"/>
        </w:rPr>
        <w:tab/>
      </w:r>
    </w:p>
    <w:p w14:paraId="5477760C" w14:textId="77777777" w:rsidR="008B36DC" w:rsidRPr="00343A98" w:rsidRDefault="008B36DC" w:rsidP="001F0782">
      <w:pPr>
        <w:spacing w:after="0" w:line="240" w:lineRule="auto"/>
        <w:ind w:left="720" w:hanging="90"/>
        <w:rPr>
          <w:rFonts w:ascii="Arial" w:eastAsia="Times New Roman" w:hAnsi="Arial" w:cs="Arial"/>
          <w:sz w:val="20"/>
          <w:szCs w:val="20"/>
        </w:rPr>
      </w:pPr>
      <w:r w:rsidRPr="00343A98">
        <w:rPr>
          <w:rFonts w:ascii="Arial" w:eastAsia="Times New Roman" w:hAnsi="Arial" w:cs="Arial"/>
          <w:sz w:val="20"/>
          <w:szCs w:val="20"/>
        </w:rPr>
        <w:tab/>
        <w:t>K0554 - Receiver (monitor), dedicated, for use with therapeutic glucose continuous monitor system</w:t>
      </w:r>
    </w:p>
    <w:p w14:paraId="05F88567" w14:textId="77777777" w:rsidR="00763594" w:rsidRPr="00343A98" w:rsidRDefault="00763594" w:rsidP="001F0782">
      <w:pPr>
        <w:spacing w:after="0" w:line="240" w:lineRule="auto"/>
        <w:ind w:left="720"/>
        <w:rPr>
          <w:rFonts w:ascii="Arial" w:eastAsia="Times New Roman" w:hAnsi="Arial" w:cs="Arial"/>
          <w:sz w:val="20"/>
          <w:szCs w:val="20"/>
        </w:rPr>
      </w:pPr>
      <w:r w:rsidRPr="00343A98">
        <w:rPr>
          <w:rFonts w:ascii="Arial" w:eastAsia="Times New Roman" w:hAnsi="Arial" w:cs="Arial"/>
          <w:sz w:val="20"/>
          <w:szCs w:val="20"/>
          <w:highlight w:val="yellow"/>
        </w:rPr>
        <w:t>S1030 - Continuous noninvasive glucose monitoring device, purchase (for physician interpretation of data, use CPT code)</w:t>
      </w:r>
    </w:p>
    <w:p w14:paraId="2A226822" w14:textId="77777777" w:rsidR="00FA75C1" w:rsidRPr="00343A98" w:rsidRDefault="00BD172A" w:rsidP="001F0782">
      <w:pPr>
        <w:spacing w:after="0" w:line="240" w:lineRule="auto"/>
        <w:ind w:left="720"/>
        <w:rPr>
          <w:rFonts w:ascii="Arial" w:eastAsia="Times New Roman" w:hAnsi="Arial" w:cs="Arial"/>
          <w:strike/>
          <w:color w:val="EE0000"/>
          <w:sz w:val="20"/>
          <w:szCs w:val="20"/>
        </w:rPr>
      </w:pPr>
      <w:r w:rsidRPr="00343A98">
        <w:rPr>
          <w:rFonts w:ascii="Arial" w:eastAsia="Times New Roman" w:hAnsi="Arial" w:cs="Arial"/>
          <w:strike/>
          <w:color w:val="EE0000"/>
          <w:sz w:val="20"/>
          <w:szCs w:val="20"/>
        </w:rPr>
        <w:t>A4271 - Integrated lancing and blood sample testing cartridges for home blood glucose monitor, per 50 tests</w:t>
      </w:r>
    </w:p>
    <w:p w14:paraId="05019E2C" w14:textId="77777777" w:rsidR="00343A98" w:rsidRPr="00343A98" w:rsidRDefault="00343A98" w:rsidP="001F0782">
      <w:pPr>
        <w:spacing w:after="0" w:line="240" w:lineRule="auto"/>
        <w:ind w:left="720"/>
        <w:rPr>
          <w:rFonts w:ascii="Arial" w:eastAsia="Times New Roman" w:hAnsi="Arial" w:cs="Arial"/>
          <w:strike/>
          <w:color w:val="EE0000"/>
          <w:sz w:val="20"/>
          <w:szCs w:val="20"/>
        </w:rPr>
      </w:pPr>
    </w:p>
    <w:p w14:paraId="2A1DABD8" w14:textId="77777777" w:rsidR="00343A98" w:rsidRPr="00343A98" w:rsidRDefault="00343A98" w:rsidP="00343A98">
      <w:pPr>
        <w:spacing w:after="0" w:line="240" w:lineRule="auto"/>
        <w:rPr>
          <w:rFonts w:ascii="Arial" w:eastAsia="Times New Roman" w:hAnsi="Arial" w:cs="Arial"/>
          <w:sz w:val="20"/>
          <w:szCs w:val="20"/>
          <w:u w:val="single"/>
        </w:rPr>
      </w:pPr>
      <w:r w:rsidRPr="00343A98">
        <w:rPr>
          <w:rFonts w:ascii="Arial" w:eastAsia="Times New Roman" w:hAnsi="Arial" w:cs="Arial"/>
          <w:sz w:val="20"/>
          <w:szCs w:val="20"/>
          <w:u w:val="single"/>
        </w:rPr>
        <w:t>CPT/HCPCS codes considered not medically necessary per this Policy:</w:t>
      </w:r>
    </w:p>
    <w:p w14:paraId="4F56373D" w14:textId="77777777" w:rsidR="00343A98" w:rsidRPr="00343A98" w:rsidRDefault="00343A98" w:rsidP="00343A98">
      <w:pPr>
        <w:spacing w:after="0" w:line="240" w:lineRule="auto"/>
        <w:rPr>
          <w:rFonts w:ascii="Arial" w:eastAsia="Times New Roman" w:hAnsi="Arial" w:cs="Arial"/>
          <w:sz w:val="20"/>
          <w:szCs w:val="20"/>
          <w:u w:val="single"/>
        </w:rPr>
      </w:pPr>
    </w:p>
    <w:p w14:paraId="3991FAB9" w14:textId="77777777" w:rsidR="00343A98" w:rsidRPr="00343A98" w:rsidRDefault="00343A98" w:rsidP="00343A98">
      <w:pPr>
        <w:spacing w:after="0" w:line="240" w:lineRule="auto"/>
        <w:ind w:firstLine="720"/>
        <w:rPr>
          <w:rFonts w:ascii="Arial" w:eastAsia="Times New Roman" w:hAnsi="Arial" w:cs="Arial"/>
          <w:sz w:val="20"/>
          <w:szCs w:val="20"/>
        </w:rPr>
      </w:pPr>
      <w:r w:rsidRPr="00343A98">
        <w:rPr>
          <w:rFonts w:ascii="Arial" w:eastAsia="Times New Roman" w:hAnsi="Arial" w:cs="Arial"/>
          <w:sz w:val="20"/>
          <w:szCs w:val="20"/>
        </w:rPr>
        <w:t>None</w:t>
      </w:r>
    </w:p>
    <w:p w14:paraId="304C63B3" w14:textId="77777777" w:rsidR="00343A98" w:rsidRPr="00343A98" w:rsidRDefault="00343A98" w:rsidP="001F0782">
      <w:pPr>
        <w:spacing w:after="0" w:line="240" w:lineRule="auto"/>
        <w:ind w:left="720"/>
        <w:rPr>
          <w:rFonts w:ascii="Arial" w:eastAsia="Times New Roman" w:hAnsi="Arial" w:cs="Arial"/>
          <w:strike/>
          <w:color w:val="EE0000"/>
          <w:sz w:val="20"/>
          <w:szCs w:val="20"/>
        </w:rPr>
      </w:pPr>
    </w:p>
    <w:p w14:paraId="7D99915B" w14:textId="77777777" w:rsidR="00541D14" w:rsidRPr="00343A98" w:rsidRDefault="00343A98" w:rsidP="00541D14">
      <w:pPr>
        <w:spacing w:after="0" w:line="240" w:lineRule="auto"/>
        <w:rPr>
          <w:rFonts w:ascii="Arial" w:eastAsia="Times New Roman" w:hAnsi="Arial" w:cs="Arial"/>
          <w:sz w:val="20"/>
          <w:szCs w:val="20"/>
          <w:u w:val="single"/>
        </w:rPr>
      </w:pPr>
      <w:r w:rsidRPr="00343A98">
        <w:rPr>
          <w:rFonts w:ascii="Arial" w:hAnsi="Arial" w:cs="Arial"/>
          <w:sz w:val="20"/>
          <w:szCs w:val="20"/>
        </w:rPr>
        <w:t>The preceding codes are included above for informational purposes only and may not be all inclusive. Additionally, inclusion or exclusion of a treatment, procedure, or device code(s) does not constitute or imply member coverage or provider reimbursement. Please refer to the member's contract benefits in effect at the time of service to determine coverage or non-coverage of these services as it applies to an individual member.</w:t>
      </w:r>
    </w:p>
    <w:p w14:paraId="076A4D44" w14:textId="77777777" w:rsidR="00343A98" w:rsidRDefault="00343A98" w:rsidP="00541D14">
      <w:pPr>
        <w:spacing w:after="0" w:line="240" w:lineRule="auto"/>
        <w:rPr>
          <w:rFonts w:eastAsia="Times New Roman" w:cstheme="minorHAnsi"/>
          <w:u w:val="single"/>
        </w:rPr>
      </w:pPr>
    </w:p>
    <w:p w14:paraId="1422F143" w14:textId="77777777" w:rsidR="00343A98" w:rsidRPr="00343A98" w:rsidRDefault="00343A98" w:rsidP="00343A98">
      <w:pPr>
        <w:spacing w:line="240" w:lineRule="auto"/>
        <w:rPr>
          <w:rFonts w:ascii="Georgia" w:eastAsia="Times New Roman" w:hAnsi="Georgia" w:cs="Calibri"/>
          <w:sz w:val="28"/>
          <w:szCs w:val="28"/>
        </w:rPr>
      </w:pPr>
      <w:r w:rsidRPr="00343A98">
        <w:rPr>
          <w:rFonts w:ascii="Georgia" w:eastAsia="Times New Roman" w:hAnsi="Georgia" w:cs="Calibri"/>
          <w:b/>
          <w:bCs/>
          <w:sz w:val="28"/>
          <w:szCs w:val="28"/>
          <w:u w:val="single"/>
        </w:rPr>
        <w:t>Policy Approach and Special Notes:</w:t>
      </w:r>
    </w:p>
    <w:p w14:paraId="1B8E5CBA" w14:textId="77777777" w:rsidR="00343A98" w:rsidRPr="00343A98" w:rsidRDefault="00343A98" w:rsidP="00343A98">
      <w:pPr>
        <w:numPr>
          <w:ilvl w:val="0"/>
          <w:numId w:val="14"/>
        </w:numPr>
        <w:spacing w:after="0" w:line="240" w:lineRule="auto"/>
        <w:textAlignment w:val="center"/>
        <w:rPr>
          <w:rFonts w:ascii="Calibri" w:eastAsia="Times New Roman" w:hAnsi="Calibri" w:cs="Calibri"/>
        </w:rPr>
      </w:pPr>
      <w:r w:rsidRPr="00343A98">
        <w:rPr>
          <w:rFonts w:ascii="Arial" w:eastAsia="Times New Roman" w:hAnsi="Arial" w:cs="Arial"/>
          <w:sz w:val="20"/>
          <w:szCs w:val="20"/>
        </w:rPr>
        <w:t xml:space="preserve">Coverage: </w:t>
      </w:r>
    </w:p>
    <w:p w14:paraId="3F8806B0" w14:textId="77777777" w:rsidR="00343A98" w:rsidRPr="00343A98" w:rsidRDefault="00343A98" w:rsidP="00343A98">
      <w:pPr>
        <w:numPr>
          <w:ilvl w:val="1"/>
          <w:numId w:val="14"/>
        </w:numPr>
        <w:spacing w:after="0" w:line="240" w:lineRule="auto"/>
        <w:textAlignment w:val="center"/>
        <w:rPr>
          <w:rFonts w:ascii="Calibri" w:eastAsia="Times New Roman" w:hAnsi="Calibri" w:cs="Calibri"/>
        </w:rPr>
      </w:pPr>
      <w:r w:rsidRPr="00343A98">
        <w:rPr>
          <w:rFonts w:ascii="Arial" w:eastAsia="Times New Roman" w:hAnsi="Arial" w:cs="Arial"/>
          <w:sz w:val="20"/>
          <w:szCs w:val="20"/>
        </w:rPr>
        <w:t>See the appropriate benefit document for specific coverage determination. Member specific benefits take precedence over medical policy.</w:t>
      </w:r>
    </w:p>
    <w:p w14:paraId="607573D7" w14:textId="77777777" w:rsidR="00343A98" w:rsidRPr="00343A98" w:rsidRDefault="00343A98" w:rsidP="00343A98">
      <w:pPr>
        <w:numPr>
          <w:ilvl w:val="0"/>
          <w:numId w:val="14"/>
        </w:numPr>
        <w:spacing w:after="0" w:line="240" w:lineRule="auto"/>
        <w:textAlignment w:val="center"/>
        <w:rPr>
          <w:rFonts w:ascii="Calibri" w:eastAsia="Times New Roman" w:hAnsi="Calibri" w:cs="Calibri"/>
        </w:rPr>
      </w:pPr>
      <w:r w:rsidRPr="00343A98">
        <w:rPr>
          <w:rFonts w:ascii="Arial" w:eastAsia="Times New Roman" w:hAnsi="Arial" w:cs="Arial"/>
          <w:sz w:val="20"/>
          <w:szCs w:val="20"/>
        </w:rPr>
        <w:t xml:space="preserve">Application </w:t>
      </w:r>
      <w:proofErr w:type="gramStart"/>
      <w:r w:rsidRPr="00343A98">
        <w:rPr>
          <w:rFonts w:ascii="Arial" w:eastAsia="Times New Roman" w:hAnsi="Arial" w:cs="Arial"/>
          <w:sz w:val="20"/>
          <w:szCs w:val="20"/>
        </w:rPr>
        <w:t>to</w:t>
      </w:r>
      <w:proofErr w:type="gramEnd"/>
      <w:r w:rsidRPr="00343A98">
        <w:rPr>
          <w:rFonts w:ascii="Arial" w:eastAsia="Times New Roman" w:hAnsi="Arial" w:cs="Arial"/>
          <w:sz w:val="20"/>
          <w:szCs w:val="20"/>
        </w:rPr>
        <w:t xml:space="preserve"> products: </w:t>
      </w:r>
    </w:p>
    <w:p w14:paraId="14E9DA25" w14:textId="77777777" w:rsidR="00343A98" w:rsidRPr="00343A98" w:rsidRDefault="00343A98" w:rsidP="00343A98">
      <w:pPr>
        <w:numPr>
          <w:ilvl w:val="1"/>
          <w:numId w:val="14"/>
        </w:numPr>
        <w:spacing w:after="0" w:line="240" w:lineRule="auto"/>
        <w:textAlignment w:val="center"/>
        <w:rPr>
          <w:rFonts w:ascii="Calibri" w:eastAsia="Times New Roman" w:hAnsi="Calibri" w:cs="Calibri"/>
        </w:rPr>
      </w:pPr>
      <w:r w:rsidRPr="00343A98">
        <w:rPr>
          <w:rFonts w:ascii="Arial" w:eastAsia="Times New Roman" w:hAnsi="Arial" w:cs="Arial"/>
          <w:sz w:val="20"/>
          <w:szCs w:val="20"/>
        </w:rPr>
        <w:t xml:space="preserve">Policy is applicable to Sentara Health Plan </w:t>
      </w:r>
      <w:r w:rsidRPr="00343A98">
        <w:rPr>
          <w:rFonts w:ascii="Arial" w:eastAsia="Times New Roman" w:hAnsi="Arial" w:cs="Arial"/>
          <w:sz w:val="20"/>
          <w:szCs w:val="20"/>
          <w:highlight w:val="yellow"/>
        </w:rPr>
        <w:t>Commercial</w:t>
      </w:r>
      <w:r w:rsidRPr="00343A98">
        <w:rPr>
          <w:rFonts w:ascii="Arial" w:eastAsia="Times New Roman" w:hAnsi="Arial" w:cs="Arial"/>
          <w:sz w:val="20"/>
          <w:szCs w:val="20"/>
        </w:rPr>
        <w:t xml:space="preserve"> products.</w:t>
      </w:r>
    </w:p>
    <w:p w14:paraId="6A628B84" w14:textId="77777777" w:rsidR="00343A98" w:rsidRPr="00343A98" w:rsidRDefault="00343A98" w:rsidP="00343A98">
      <w:pPr>
        <w:numPr>
          <w:ilvl w:val="0"/>
          <w:numId w:val="14"/>
        </w:numPr>
        <w:spacing w:after="0" w:line="240" w:lineRule="auto"/>
        <w:textAlignment w:val="center"/>
        <w:rPr>
          <w:rFonts w:ascii="Calibri" w:eastAsia="Times New Roman" w:hAnsi="Calibri" w:cs="Calibri"/>
        </w:rPr>
      </w:pPr>
      <w:r w:rsidRPr="00343A98">
        <w:rPr>
          <w:rFonts w:ascii="Arial" w:eastAsia="Times New Roman" w:hAnsi="Arial" w:cs="Arial"/>
          <w:sz w:val="20"/>
          <w:szCs w:val="20"/>
        </w:rPr>
        <w:t xml:space="preserve">Authorization requirements:  </w:t>
      </w:r>
    </w:p>
    <w:p w14:paraId="618F2B21" w14:textId="77777777" w:rsidR="00343A98" w:rsidRPr="00343A98" w:rsidRDefault="00343A98" w:rsidP="00343A98">
      <w:pPr>
        <w:numPr>
          <w:ilvl w:val="1"/>
          <w:numId w:val="14"/>
        </w:numPr>
        <w:spacing w:after="0" w:line="240" w:lineRule="auto"/>
        <w:textAlignment w:val="center"/>
        <w:rPr>
          <w:rFonts w:ascii="Calibri" w:eastAsia="Times New Roman" w:hAnsi="Calibri" w:cs="Calibri"/>
        </w:rPr>
      </w:pPr>
      <w:r w:rsidRPr="00343A98">
        <w:rPr>
          <w:rFonts w:ascii="Arial" w:eastAsia="Times New Roman" w:hAnsi="Arial" w:cs="Arial"/>
          <w:sz w:val="20"/>
          <w:szCs w:val="20"/>
        </w:rPr>
        <w:t>Pre-certification by the Plan is required.</w:t>
      </w:r>
    </w:p>
    <w:p w14:paraId="4C768B92" w14:textId="77777777" w:rsidR="00343A98" w:rsidRPr="00343A98" w:rsidRDefault="00343A98" w:rsidP="00343A98">
      <w:pPr>
        <w:numPr>
          <w:ilvl w:val="0"/>
          <w:numId w:val="14"/>
        </w:numPr>
        <w:spacing w:after="0" w:line="240" w:lineRule="auto"/>
        <w:textAlignment w:val="center"/>
        <w:rPr>
          <w:rFonts w:ascii="Calibri" w:eastAsia="Times New Roman" w:hAnsi="Calibri" w:cs="Calibri"/>
        </w:rPr>
      </w:pPr>
      <w:r w:rsidRPr="00343A98">
        <w:rPr>
          <w:rFonts w:ascii="Arial" w:eastAsia="Times New Roman" w:hAnsi="Arial" w:cs="Arial"/>
          <w:sz w:val="20"/>
          <w:szCs w:val="20"/>
        </w:rPr>
        <w:t>Special Notes:</w:t>
      </w:r>
    </w:p>
    <w:p w14:paraId="7AD5402B" w14:textId="77777777" w:rsidR="00343A98" w:rsidRPr="00343A98" w:rsidRDefault="00343A98" w:rsidP="00343A98">
      <w:pPr>
        <w:numPr>
          <w:ilvl w:val="1"/>
          <w:numId w:val="14"/>
        </w:numPr>
        <w:spacing w:after="0" w:line="240" w:lineRule="auto"/>
        <w:textAlignment w:val="center"/>
        <w:rPr>
          <w:rFonts w:ascii="Calibri" w:eastAsia="Times New Roman" w:hAnsi="Calibri" w:cs="Calibri"/>
        </w:rPr>
      </w:pPr>
      <w:r w:rsidRPr="00343A98">
        <w:rPr>
          <w:rFonts w:ascii="Arial" w:eastAsia="Times New Roman" w:hAnsi="Arial" w:cs="Arial"/>
          <w:sz w:val="20"/>
          <w:szCs w:val="20"/>
          <w:highlight w:val="yellow"/>
        </w:rPr>
        <w:t xml:space="preserve">Commercial </w:t>
      </w:r>
    </w:p>
    <w:p w14:paraId="620BB38C" w14:textId="77777777" w:rsidR="00343A98" w:rsidRPr="00343A98" w:rsidRDefault="00343A98" w:rsidP="00343A98">
      <w:pPr>
        <w:numPr>
          <w:ilvl w:val="2"/>
          <w:numId w:val="14"/>
        </w:numPr>
        <w:spacing w:after="0" w:line="240" w:lineRule="auto"/>
        <w:textAlignment w:val="center"/>
        <w:rPr>
          <w:rFonts w:ascii="Calibri" w:eastAsia="Times New Roman" w:hAnsi="Calibri" w:cs="Calibri"/>
        </w:rPr>
      </w:pPr>
      <w:r w:rsidRPr="00343A98">
        <w:rPr>
          <w:rFonts w:ascii="Arial" w:eastAsia="Times New Roman" w:hAnsi="Arial" w:cs="Arial"/>
          <w:sz w:val="20"/>
          <w:szCs w:val="20"/>
        </w:rPr>
        <w:t xml:space="preserve">Medical policies can be highly technical and complex and are provided here for informational purposes. These medical policies are intended for use by health care professionals. The medical policies do not constitute medical advice or medical care. Treating health care professionals are solely responsible for diagnosis, treatment, and medical advice. Sentara Health Plan members should discuss the information in the medical policies with their treating health care professionals. Medical technology is constantly evolving, and these medical policies are subject to change without notice, although Sentara Health Plan will </w:t>
      </w:r>
      <w:r w:rsidRPr="00343A98">
        <w:rPr>
          <w:rFonts w:ascii="Arial" w:eastAsia="Times New Roman" w:hAnsi="Arial" w:cs="Arial"/>
          <w:sz w:val="20"/>
          <w:szCs w:val="20"/>
        </w:rPr>
        <w:lastRenderedPageBreak/>
        <w:t xml:space="preserve">notify providers as required in advance of changes that could have a negative impact on benefits. </w:t>
      </w:r>
    </w:p>
    <w:p w14:paraId="75F3DA7F" w14:textId="77777777" w:rsidR="00343A98" w:rsidRPr="00343A98" w:rsidRDefault="00343A98" w:rsidP="00343A98">
      <w:pPr>
        <w:numPr>
          <w:ilvl w:val="2"/>
          <w:numId w:val="14"/>
        </w:numPr>
        <w:spacing w:line="240" w:lineRule="auto"/>
        <w:textAlignment w:val="center"/>
        <w:rPr>
          <w:rFonts w:ascii="Calibri" w:eastAsia="Times New Roman" w:hAnsi="Calibri" w:cs="Calibri"/>
        </w:rPr>
      </w:pPr>
      <w:r w:rsidRPr="00343A98">
        <w:rPr>
          <w:rFonts w:ascii="Arial" w:eastAsia="Times New Roman" w:hAnsi="Arial" w:cs="Arial"/>
          <w:sz w:val="20"/>
          <w:szCs w:val="20"/>
        </w:rPr>
        <w:t xml:space="preserve">Services mean both medical and behavioral health (mental health) services and supplies unless We specifically tell You otherwise. We do not cover any services that are not listed in the Covered Services section unless required to be covered under state or federal laws and regulations. We do not cover any services that are not Medically Necessary. We sometimes give examples of specific services that are not covered but that does not mean that other similar services are covered. Some services are covered only if We authorize them. When We say </w:t>
      </w:r>
      <w:proofErr w:type="gramStart"/>
      <w:r w:rsidRPr="00343A98">
        <w:rPr>
          <w:rFonts w:ascii="Arial" w:eastAsia="Times New Roman" w:hAnsi="Arial" w:cs="Arial"/>
          <w:sz w:val="20"/>
          <w:szCs w:val="20"/>
        </w:rPr>
        <w:t>You</w:t>
      </w:r>
      <w:proofErr w:type="gramEnd"/>
      <w:r w:rsidRPr="00343A98">
        <w:rPr>
          <w:rFonts w:ascii="Arial" w:eastAsia="Times New Roman" w:hAnsi="Arial" w:cs="Arial"/>
          <w:sz w:val="20"/>
          <w:szCs w:val="20"/>
        </w:rPr>
        <w:t xml:space="preserve"> or Your We mean You and any of Your family members covered under the Plan. Call Member Services if You have questions.</w:t>
      </w:r>
    </w:p>
    <w:p w14:paraId="271235C5" w14:textId="77777777" w:rsidR="00343A98" w:rsidRDefault="00343A98" w:rsidP="007F6B6E">
      <w:pPr>
        <w:rPr>
          <w:b/>
          <w:sz w:val="28"/>
          <w:szCs w:val="28"/>
          <w:u w:val="single"/>
        </w:rPr>
      </w:pPr>
    </w:p>
    <w:p w14:paraId="00A59552" w14:textId="77777777" w:rsidR="007F6B6E" w:rsidRPr="00343A98" w:rsidRDefault="007F6B6E" w:rsidP="00343A98">
      <w:pPr>
        <w:spacing w:line="240" w:lineRule="auto"/>
        <w:rPr>
          <w:rFonts w:ascii="Georgia" w:eastAsia="Times New Roman" w:hAnsi="Georgia" w:cs="Calibri"/>
          <w:b/>
          <w:bCs/>
          <w:sz w:val="28"/>
          <w:szCs w:val="28"/>
          <w:u w:val="single"/>
        </w:rPr>
      </w:pPr>
      <w:r w:rsidRPr="00343A98">
        <w:rPr>
          <w:rFonts w:ascii="Georgia" w:eastAsia="Times New Roman" w:hAnsi="Georgia" w:cs="Calibri"/>
          <w:b/>
          <w:bCs/>
          <w:sz w:val="28"/>
          <w:szCs w:val="28"/>
          <w:u w:val="single"/>
        </w:rPr>
        <w:t xml:space="preserve">References: </w:t>
      </w:r>
    </w:p>
    <w:p w14:paraId="6B5E1A97" w14:textId="77777777" w:rsidR="007F6B6E" w:rsidRPr="00343A98" w:rsidRDefault="007F6B6E" w:rsidP="007F6B6E">
      <w:pPr>
        <w:ind w:firstLine="720"/>
        <w:rPr>
          <w:rFonts w:ascii="Arial" w:hAnsi="Arial" w:cs="Arial"/>
          <w:b/>
          <w:sz w:val="20"/>
          <w:szCs w:val="20"/>
        </w:rPr>
      </w:pPr>
      <w:r w:rsidRPr="00343A98">
        <w:rPr>
          <w:rFonts w:ascii="Arial" w:hAnsi="Arial" w:cs="Arial"/>
          <w:b/>
          <w:sz w:val="20"/>
          <w:szCs w:val="20"/>
        </w:rPr>
        <w:t>References used include but are not limited to the following:</w:t>
      </w:r>
    </w:p>
    <w:p w14:paraId="142F0EB7" w14:textId="77777777" w:rsidR="007F6B6E" w:rsidRPr="00343A98" w:rsidRDefault="007F6B6E" w:rsidP="007F6B6E">
      <w:pPr>
        <w:ind w:left="720"/>
        <w:rPr>
          <w:rFonts w:ascii="Arial" w:hAnsi="Arial" w:cs="Arial"/>
          <w:sz w:val="20"/>
          <w:szCs w:val="20"/>
        </w:rPr>
      </w:pPr>
      <w:r w:rsidRPr="00343A98">
        <w:rPr>
          <w:rFonts w:ascii="Arial" w:hAnsi="Arial" w:cs="Arial"/>
          <w:sz w:val="20"/>
          <w:szCs w:val="20"/>
        </w:rPr>
        <w:t>Specialty Association Guidelines; Government Regulations; Winifred S. Hayes, Inc; Uptodate; Literature Review; Specialty Advisors; National Coverage Determination (NCD); Local Coverage Determination (LCD).</w:t>
      </w:r>
    </w:p>
    <w:p w14:paraId="6C544B3C" w14:textId="77777777" w:rsidR="00343A98" w:rsidRPr="00343A98" w:rsidRDefault="00343A98" w:rsidP="00343A98">
      <w:pPr>
        <w:spacing w:after="160" w:line="278" w:lineRule="auto"/>
        <w:ind w:left="720"/>
        <w:contextualSpacing/>
        <w:rPr>
          <w:rFonts w:ascii="Arial" w:eastAsia="Calibri" w:hAnsi="Arial" w:cs="Arial"/>
          <w:sz w:val="20"/>
          <w:szCs w:val="20"/>
          <w:highlight w:val="yellow"/>
        </w:rPr>
      </w:pPr>
      <w:r w:rsidRPr="00343A98">
        <w:rPr>
          <w:rFonts w:ascii="Arial" w:eastAsia="Calibri" w:hAnsi="Arial" w:cs="Arial"/>
          <w:sz w:val="20"/>
          <w:szCs w:val="20"/>
          <w:highlight w:val="yellow"/>
        </w:rPr>
        <w:t xml:space="preserve">(NCD) Blood Glucose Testing 190.20. (2005). Retrieved 5 2025, from CMD NCD: </w:t>
      </w:r>
      <w:hyperlink r:id="rId11" w:history="1">
        <w:r w:rsidRPr="00343A98">
          <w:rPr>
            <w:rStyle w:val="Hyperlink"/>
            <w:rFonts w:ascii="Arial" w:eastAsia="Calibri" w:hAnsi="Arial" w:cs="Arial"/>
            <w:sz w:val="20"/>
            <w:szCs w:val="20"/>
            <w:highlight w:val="yellow"/>
          </w:rPr>
          <w:t>https://www.cms.gov/medicare-coverage-database/view/ncd.aspx?ncdid=98&amp;ncdver=2&amp;keywordtype=starts&amp;keyword=Glucose&amp;bc=0</w:t>
        </w:r>
      </w:hyperlink>
    </w:p>
    <w:p w14:paraId="78D724F2" w14:textId="77777777" w:rsidR="00343A98" w:rsidRPr="00343A98" w:rsidRDefault="00343A98" w:rsidP="00343A98">
      <w:pPr>
        <w:spacing w:after="160" w:line="278" w:lineRule="auto"/>
        <w:ind w:left="720"/>
        <w:contextualSpacing/>
        <w:rPr>
          <w:rFonts w:ascii="Arial" w:eastAsia="Calibri" w:hAnsi="Arial" w:cs="Arial"/>
          <w:sz w:val="20"/>
          <w:szCs w:val="20"/>
          <w:highlight w:val="yellow"/>
        </w:rPr>
      </w:pPr>
    </w:p>
    <w:p w14:paraId="70B14455" w14:textId="77777777" w:rsidR="00343A98" w:rsidRPr="00343A98" w:rsidRDefault="00343A98" w:rsidP="00343A98">
      <w:pPr>
        <w:spacing w:after="160" w:line="278" w:lineRule="auto"/>
        <w:ind w:left="720"/>
        <w:contextualSpacing/>
        <w:rPr>
          <w:rFonts w:ascii="Arial" w:eastAsia="Calibri" w:hAnsi="Arial" w:cs="Arial"/>
          <w:sz w:val="20"/>
          <w:szCs w:val="20"/>
          <w:highlight w:val="yellow"/>
        </w:rPr>
      </w:pPr>
      <w:r w:rsidRPr="00343A98">
        <w:rPr>
          <w:rFonts w:ascii="Arial" w:eastAsia="Calibri" w:hAnsi="Arial" w:cs="Arial"/>
          <w:sz w:val="20"/>
          <w:szCs w:val="20"/>
          <w:highlight w:val="yellow"/>
        </w:rPr>
        <w:t xml:space="preserve">(NCD) Closed-Loop Blood Glucose Control Device (CBGCD) 40.3. (Longstanding). Retrieved 5 2025, from CMS - National Coverage Determination (NCD): </w:t>
      </w:r>
      <w:hyperlink r:id="rId12" w:history="1">
        <w:r w:rsidRPr="00343A98">
          <w:rPr>
            <w:rStyle w:val="Hyperlink"/>
            <w:rFonts w:ascii="Arial" w:eastAsia="Calibri" w:hAnsi="Arial" w:cs="Arial"/>
            <w:sz w:val="20"/>
            <w:szCs w:val="20"/>
            <w:highlight w:val="yellow"/>
          </w:rPr>
          <w:t>https://www.cms.gov/medicare-coverage-database/view/ncd.aspx?ncdid=92&amp;ncdver=1&amp;keywordtype=starts&amp;keyword=Glucose&amp;bc=0</w:t>
        </w:r>
      </w:hyperlink>
    </w:p>
    <w:p w14:paraId="5B976AC9" w14:textId="77777777" w:rsidR="00343A98" w:rsidRPr="00343A98" w:rsidRDefault="00343A98" w:rsidP="00343A98">
      <w:pPr>
        <w:spacing w:after="160" w:line="278" w:lineRule="auto"/>
        <w:ind w:left="720"/>
        <w:contextualSpacing/>
        <w:rPr>
          <w:rFonts w:ascii="Arial" w:eastAsia="Calibri" w:hAnsi="Arial" w:cs="Arial"/>
          <w:sz w:val="20"/>
          <w:szCs w:val="20"/>
          <w:highlight w:val="yellow"/>
        </w:rPr>
      </w:pPr>
    </w:p>
    <w:p w14:paraId="5AE88F3D" w14:textId="77777777" w:rsidR="00343A98" w:rsidRPr="00343A98" w:rsidRDefault="00343A98" w:rsidP="00343A98">
      <w:pPr>
        <w:spacing w:after="160" w:line="278" w:lineRule="auto"/>
        <w:ind w:left="720"/>
        <w:contextualSpacing/>
        <w:rPr>
          <w:rFonts w:ascii="Arial" w:eastAsia="Calibri" w:hAnsi="Arial" w:cs="Arial"/>
          <w:sz w:val="20"/>
          <w:szCs w:val="20"/>
          <w:highlight w:val="yellow"/>
        </w:rPr>
      </w:pPr>
      <w:r w:rsidRPr="00343A98">
        <w:rPr>
          <w:rFonts w:ascii="Arial" w:eastAsia="Calibri" w:hAnsi="Arial" w:cs="Arial"/>
          <w:sz w:val="20"/>
          <w:szCs w:val="20"/>
          <w:highlight w:val="yellow"/>
        </w:rPr>
        <w:t xml:space="preserve">28th Edition. (2025). Retrieved 5 2025, from MCG: </w:t>
      </w:r>
      <w:hyperlink r:id="rId13" w:history="1">
        <w:r w:rsidRPr="00343A98">
          <w:rPr>
            <w:rStyle w:val="Hyperlink"/>
            <w:rFonts w:ascii="Arial" w:eastAsia="Calibri" w:hAnsi="Arial" w:cs="Arial"/>
            <w:sz w:val="20"/>
            <w:szCs w:val="20"/>
            <w:highlight w:val="yellow"/>
          </w:rPr>
          <w:t>https://careweb.careguidelines.com/ed28/</w:t>
        </w:r>
      </w:hyperlink>
    </w:p>
    <w:p w14:paraId="26CBF86B" w14:textId="77777777" w:rsidR="00343A98" w:rsidRPr="00343A98" w:rsidRDefault="00343A98" w:rsidP="00343A98">
      <w:pPr>
        <w:spacing w:after="160" w:line="278" w:lineRule="auto"/>
        <w:ind w:left="720"/>
        <w:contextualSpacing/>
        <w:rPr>
          <w:rFonts w:ascii="Arial" w:eastAsia="Calibri" w:hAnsi="Arial" w:cs="Arial"/>
          <w:sz w:val="20"/>
          <w:szCs w:val="20"/>
          <w:highlight w:val="yellow"/>
        </w:rPr>
      </w:pPr>
    </w:p>
    <w:p w14:paraId="7A05F1DE" w14:textId="77777777" w:rsidR="00343A98" w:rsidRPr="00343A98" w:rsidRDefault="00343A98" w:rsidP="00343A98">
      <w:pPr>
        <w:spacing w:after="160" w:line="278" w:lineRule="auto"/>
        <w:ind w:left="720"/>
        <w:contextualSpacing/>
        <w:rPr>
          <w:rFonts w:ascii="Arial" w:eastAsia="Calibri" w:hAnsi="Arial" w:cs="Arial"/>
          <w:sz w:val="20"/>
          <w:szCs w:val="20"/>
          <w:highlight w:val="yellow"/>
        </w:rPr>
      </w:pPr>
      <w:r w:rsidRPr="00343A98">
        <w:rPr>
          <w:rFonts w:ascii="Arial" w:eastAsia="Calibri" w:hAnsi="Arial" w:cs="Arial"/>
          <w:sz w:val="20"/>
          <w:szCs w:val="20"/>
          <w:highlight w:val="yellow"/>
        </w:rPr>
        <w:t xml:space="preserve">(2025). Retrieved 5 2025, from Hayes: </w:t>
      </w:r>
      <w:hyperlink r:id="rId14" w:history="1">
        <w:r w:rsidRPr="00343A98">
          <w:rPr>
            <w:rStyle w:val="Hyperlink"/>
            <w:rFonts w:ascii="Arial" w:eastAsia="Calibri" w:hAnsi="Arial" w:cs="Arial"/>
            <w:sz w:val="20"/>
            <w:szCs w:val="20"/>
            <w:highlight w:val="yellow"/>
          </w:rPr>
          <w:t>https://evidence.hayesinc.com/search?q=%257B%2522text%2522:%2522%25E2%2580%25A2%255CtContinuous%2520glucose%2520monitoring%2520%2522,%2522title%2522:null,%2522termsource%2522:%2522searchbar%2522,%2522page%2522:%257B%2522page%2522:0,%2522size%2522:50%257D</w:t>
        </w:r>
      </w:hyperlink>
      <w:r w:rsidRPr="00343A98">
        <w:rPr>
          <w:rFonts w:ascii="Arial" w:eastAsia="Calibri" w:hAnsi="Arial" w:cs="Arial"/>
          <w:sz w:val="20"/>
          <w:szCs w:val="20"/>
          <w:highlight w:val="yellow"/>
        </w:rPr>
        <w:t>,</w:t>
      </w:r>
    </w:p>
    <w:p w14:paraId="511CB90C" w14:textId="77777777" w:rsidR="00343A98" w:rsidRPr="00343A98" w:rsidRDefault="00343A98" w:rsidP="00343A98">
      <w:pPr>
        <w:spacing w:after="160" w:line="278" w:lineRule="auto"/>
        <w:ind w:left="720"/>
        <w:contextualSpacing/>
        <w:rPr>
          <w:rFonts w:ascii="Arial" w:eastAsia="Calibri" w:hAnsi="Arial" w:cs="Arial"/>
          <w:sz w:val="20"/>
          <w:szCs w:val="20"/>
          <w:highlight w:val="yellow"/>
        </w:rPr>
      </w:pPr>
    </w:p>
    <w:p w14:paraId="55F3F4AC" w14:textId="77777777" w:rsidR="00343A98" w:rsidRPr="00343A98" w:rsidRDefault="00343A98" w:rsidP="00343A98">
      <w:pPr>
        <w:spacing w:after="160" w:line="278" w:lineRule="auto"/>
        <w:ind w:left="720"/>
        <w:contextualSpacing/>
        <w:rPr>
          <w:rFonts w:ascii="Arial" w:eastAsia="Calibri" w:hAnsi="Arial" w:cs="Arial"/>
          <w:sz w:val="20"/>
          <w:szCs w:val="20"/>
          <w:highlight w:val="yellow"/>
        </w:rPr>
      </w:pPr>
      <w:r w:rsidRPr="00343A98">
        <w:rPr>
          <w:rFonts w:ascii="Arial" w:eastAsia="Calibri" w:hAnsi="Arial" w:cs="Arial"/>
          <w:sz w:val="20"/>
          <w:szCs w:val="20"/>
          <w:highlight w:val="yellow"/>
        </w:rPr>
        <w:t xml:space="preserve">An Endocrine Society Clinical Practice Guideline. (2019). Retrieved 5 2025, from Endocrine Society: Treatment of Diabetes in Older Adults: </w:t>
      </w:r>
      <w:hyperlink r:id="rId15" w:history="1">
        <w:r w:rsidRPr="00343A98">
          <w:rPr>
            <w:rStyle w:val="Hyperlink"/>
            <w:rFonts w:ascii="Arial" w:eastAsia="Calibri" w:hAnsi="Arial" w:cs="Arial"/>
            <w:sz w:val="20"/>
            <w:szCs w:val="20"/>
            <w:highlight w:val="yellow"/>
          </w:rPr>
          <w:t>https://academic.oup.com/jcem/article/104/5/1520/5413486</w:t>
        </w:r>
      </w:hyperlink>
    </w:p>
    <w:p w14:paraId="0AFE593B" w14:textId="77777777" w:rsidR="00343A98" w:rsidRPr="00343A98" w:rsidRDefault="00343A98" w:rsidP="00343A98">
      <w:pPr>
        <w:spacing w:after="160" w:line="278" w:lineRule="auto"/>
        <w:ind w:left="720"/>
        <w:contextualSpacing/>
        <w:rPr>
          <w:rFonts w:ascii="Arial" w:eastAsia="Calibri" w:hAnsi="Arial" w:cs="Arial"/>
          <w:sz w:val="20"/>
          <w:szCs w:val="20"/>
          <w:highlight w:val="yellow"/>
        </w:rPr>
      </w:pPr>
    </w:p>
    <w:p w14:paraId="5AB1F1BE" w14:textId="77777777" w:rsidR="00343A98" w:rsidRPr="00343A98" w:rsidRDefault="00343A98" w:rsidP="00343A98">
      <w:pPr>
        <w:spacing w:after="160" w:line="278" w:lineRule="auto"/>
        <w:ind w:left="720"/>
        <w:contextualSpacing/>
        <w:rPr>
          <w:rFonts w:ascii="Arial" w:eastAsia="Calibri" w:hAnsi="Arial" w:cs="Arial"/>
          <w:sz w:val="20"/>
          <w:szCs w:val="20"/>
          <w:highlight w:val="yellow"/>
        </w:rPr>
      </w:pPr>
      <w:r w:rsidRPr="00343A98">
        <w:rPr>
          <w:rFonts w:ascii="Arial" w:eastAsia="Calibri" w:hAnsi="Arial" w:cs="Arial"/>
          <w:sz w:val="20"/>
          <w:szCs w:val="20"/>
          <w:highlight w:val="yellow"/>
        </w:rPr>
        <w:t xml:space="preserve">Continuous Glucose Monitoring. (2023). Retrieved 5 2025, from National Institute of Diabetes and Digestive and Kidney Diseases (NIDDK): </w:t>
      </w:r>
      <w:hyperlink r:id="rId16" w:history="1">
        <w:r w:rsidRPr="00343A98">
          <w:rPr>
            <w:rStyle w:val="Hyperlink"/>
            <w:rFonts w:ascii="Arial" w:eastAsia="Calibri" w:hAnsi="Arial" w:cs="Arial"/>
            <w:sz w:val="20"/>
            <w:szCs w:val="20"/>
            <w:highlight w:val="yellow"/>
          </w:rPr>
          <w:t>https://www.niddk.nih.gov/health-information/diabetes/overview/managing-diabetes/continuous-glucose-monitoring</w:t>
        </w:r>
      </w:hyperlink>
    </w:p>
    <w:p w14:paraId="7793E089" w14:textId="77777777" w:rsidR="00343A98" w:rsidRPr="00343A98" w:rsidRDefault="00343A98" w:rsidP="00343A98">
      <w:pPr>
        <w:spacing w:after="160" w:line="278" w:lineRule="auto"/>
        <w:ind w:left="720"/>
        <w:contextualSpacing/>
        <w:rPr>
          <w:rFonts w:ascii="Arial" w:eastAsia="Calibri" w:hAnsi="Arial" w:cs="Arial"/>
          <w:sz w:val="20"/>
          <w:szCs w:val="20"/>
          <w:highlight w:val="yellow"/>
        </w:rPr>
      </w:pPr>
    </w:p>
    <w:p w14:paraId="7F19D1CA" w14:textId="77777777" w:rsidR="00343A98" w:rsidRPr="00343A98" w:rsidRDefault="00343A98" w:rsidP="00343A98">
      <w:pPr>
        <w:spacing w:after="160" w:line="278" w:lineRule="auto"/>
        <w:ind w:left="720"/>
        <w:contextualSpacing/>
        <w:rPr>
          <w:rFonts w:ascii="Arial" w:eastAsia="Calibri" w:hAnsi="Arial" w:cs="Arial"/>
          <w:sz w:val="20"/>
          <w:szCs w:val="20"/>
          <w:highlight w:val="yellow"/>
        </w:rPr>
      </w:pPr>
      <w:r w:rsidRPr="00343A98">
        <w:rPr>
          <w:rFonts w:ascii="Arial" w:eastAsia="Calibri" w:hAnsi="Arial" w:cs="Arial"/>
          <w:sz w:val="20"/>
          <w:szCs w:val="20"/>
          <w:highlight w:val="yellow"/>
        </w:rPr>
        <w:t xml:space="preserve">Glucose monitoring in the ambulatory management of nonpregnant adults with diabetes mellitus. (2025). Retrieved 5 2025, from UpToDate: </w:t>
      </w:r>
      <w:hyperlink r:id="rId17" w:history="1">
        <w:r w:rsidRPr="00343A98">
          <w:rPr>
            <w:rStyle w:val="Hyperlink"/>
            <w:rFonts w:ascii="Arial" w:eastAsia="Calibri" w:hAnsi="Arial" w:cs="Arial"/>
            <w:sz w:val="20"/>
            <w:szCs w:val="20"/>
            <w:highlight w:val="yellow"/>
          </w:rPr>
          <w:t>https://www.uptodate.com/contents/glucose-monitoring-in-the-ambulatory-management-of-nonpregnant-adults-with-diabetes-</w:t>
        </w:r>
        <w:r w:rsidRPr="00343A98">
          <w:rPr>
            <w:rStyle w:val="Hyperlink"/>
            <w:rFonts w:ascii="Arial" w:eastAsia="Calibri" w:hAnsi="Arial" w:cs="Arial"/>
            <w:sz w:val="20"/>
            <w:szCs w:val="20"/>
            <w:highlight w:val="yellow"/>
          </w:rPr>
          <w:lastRenderedPageBreak/>
          <w:t>mellitus?search=continuous%20glucose%20monitoring&amp;sectionRank=1&amp;usage_type=default&amp;anchor=H3265323770&amp;source=machineLearning&amp;selectedTitl</w:t>
        </w:r>
      </w:hyperlink>
    </w:p>
    <w:p w14:paraId="1C92337D" w14:textId="77777777" w:rsidR="00343A98" w:rsidRPr="00343A98" w:rsidRDefault="00343A98" w:rsidP="00343A98">
      <w:pPr>
        <w:spacing w:after="160" w:line="278" w:lineRule="auto"/>
        <w:ind w:left="720"/>
        <w:contextualSpacing/>
        <w:rPr>
          <w:rFonts w:ascii="Arial" w:eastAsia="Calibri" w:hAnsi="Arial" w:cs="Arial"/>
          <w:sz w:val="20"/>
          <w:szCs w:val="20"/>
          <w:highlight w:val="yellow"/>
        </w:rPr>
      </w:pPr>
    </w:p>
    <w:p w14:paraId="2FCDF4B0" w14:textId="77777777" w:rsidR="00343A98" w:rsidRPr="00343A98" w:rsidRDefault="00343A98" w:rsidP="00343A98">
      <w:pPr>
        <w:spacing w:after="160" w:line="278" w:lineRule="auto"/>
        <w:ind w:left="720"/>
        <w:contextualSpacing/>
        <w:rPr>
          <w:rFonts w:ascii="Arial" w:eastAsia="Calibri" w:hAnsi="Arial" w:cs="Arial"/>
          <w:sz w:val="20"/>
          <w:szCs w:val="20"/>
          <w:highlight w:val="yellow"/>
        </w:rPr>
      </w:pPr>
      <w:r w:rsidRPr="00343A98">
        <w:rPr>
          <w:rFonts w:ascii="Arial" w:eastAsia="Calibri" w:hAnsi="Arial" w:cs="Arial"/>
          <w:sz w:val="20"/>
          <w:szCs w:val="20"/>
          <w:highlight w:val="yellow"/>
        </w:rPr>
        <w:t xml:space="preserve">GUIDE TO CONTINUOUS GLUCOSE MONITORING (CGM). (2025). Retrieved 5 2025, from American Association of Clinical Endocrinology (AACE): </w:t>
      </w:r>
      <w:hyperlink r:id="rId18" w:history="1">
        <w:r w:rsidRPr="00343A98">
          <w:rPr>
            <w:rStyle w:val="Hyperlink"/>
            <w:rFonts w:ascii="Arial" w:eastAsia="Calibri" w:hAnsi="Arial" w:cs="Arial"/>
            <w:sz w:val="20"/>
            <w:szCs w:val="20"/>
            <w:highlight w:val="yellow"/>
          </w:rPr>
          <w:t>https://pro.aace.com/cgm/toolkit/cgm-device-comparison</w:t>
        </w:r>
      </w:hyperlink>
    </w:p>
    <w:p w14:paraId="0B30D936" w14:textId="77777777" w:rsidR="00343A98" w:rsidRPr="00343A98" w:rsidRDefault="00343A98" w:rsidP="00343A98">
      <w:pPr>
        <w:spacing w:after="160" w:line="278" w:lineRule="auto"/>
        <w:ind w:left="720"/>
        <w:contextualSpacing/>
        <w:rPr>
          <w:rFonts w:ascii="Arial" w:eastAsia="Calibri" w:hAnsi="Arial" w:cs="Arial"/>
          <w:sz w:val="20"/>
          <w:szCs w:val="20"/>
          <w:highlight w:val="yellow"/>
        </w:rPr>
      </w:pPr>
    </w:p>
    <w:p w14:paraId="6C0994DA" w14:textId="77777777" w:rsidR="00343A98" w:rsidRPr="00343A98" w:rsidRDefault="00343A98" w:rsidP="00343A98">
      <w:pPr>
        <w:spacing w:after="160" w:line="278" w:lineRule="auto"/>
        <w:ind w:left="720"/>
        <w:contextualSpacing/>
        <w:rPr>
          <w:rFonts w:ascii="Arial" w:eastAsia="Calibri" w:hAnsi="Arial" w:cs="Arial"/>
          <w:sz w:val="20"/>
          <w:szCs w:val="20"/>
          <w:highlight w:val="yellow"/>
        </w:rPr>
      </w:pPr>
      <w:r w:rsidRPr="00343A98">
        <w:rPr>
          <w:rFonts w:ascii="Arial" w:eastAsia="Calibri" w:hAnsi="Arial" w:cs="Arial"/>
          <w:sz w:val="20"/>
          <w:szCs w:val="20"/>
          <w:highlight w:val="yellow"/>
        </w:rPr>
        <w:t xml:space="preserve">LCD Implantable Continuous Glucose Monitors (I-CGM) (L38743). (2024, 7). Retrieved 5 2025, from CMS Local Coverage Determination: </w:t>
      </w:r>
      <w:hyperlink r:id="rId19" w:history="1">
        <w:r w:rsidRPr="00343A98">
          <w:rPr>
            <w:rStyle w:val="Hyperlink"/>
            <w:rFonts w:ascii="Arial" w:eastAsia="Calibri" w:hAnsi="Arial" w:cs="Arial"/>
            <w:sz w:val="20"/>
            <w:szCs w:val="20"/>
            <w:highlight w:val="yellow"/>
          </w:rPr>
          <w:t>https://www.cms.gov/medicare-coverage-database/view/lcd.aspx?lcdId=38743&amp;ver=15</w:t>
        </w:r>
      </w:hyperlink>
    </w:p>
    <w:p w14:paraId="46A05DCA" w14:textId="77777777" w:rsidR="00343A98" w:rsidRPr="00343A98" w:rsidRDefault="00343A98" w:rsidP="00343A98">
      <w:pPr>
        <w:spacing w:after="160" w:line="278" w:lineRule="auto"/>
        <w:ind w:left="720"/>
        <w:contextualSpacing/>
        <w:rPr>
          <w:rFonts w:ascii="Arial" w:eastAsia="Calibri" w:hAnsi="Arial" w:cs="Arial"/>
          <w:sz w:val="20"/>
          <w:szCs w:val="20"/>
          <w:highlight w:val="yellow"/>
        </w:rPr>
      </w:pPr>
    </w:p>
    <w:p w14:paraId="113AEC1F" w14:textId="77777777" w:rsidR="00343A98" w:rsidRPr="00343A98" w:rsidRDefault="00343A98" w:rsidP="00343A98">
      <w:pPr>
        <w:spacing w:after="160" w:line="278" w:lineRule="auto"/>
        <w:ind w:left="720"/>
        <w:contextualSpacing/>
        <w:rPr>
          <w:rFonts w:ascii="Arial" w:eastAsia="Calibri" w:hAnsi="Arial" w:cs="Arial"/>
          <w:sz w:val="20"/>
          <w:szCs w:val="20"/>
          <w:highlight w:val="yellow"/>
        </w:rPr>
      </w:pPr>
      <w:r w:rsidRPr="00343A98">
        <w:rPr>
          <w:rFonts w:ascii="Arial" w:eastAsia="Calibri" w:hAnsi="Arial" w:cs="Arial"/>
          <w:sz w:val="20"/>
          <w:szCs w:val="20"/>
          <w:highlight w:val="yellow"/>
        </w:rPr>
        <w:t xml:space="preserve">Provider Manuals. (2024). Retrieved 5 2025, from DMAS: </w:t>
      </w:r>
      <w:hyperlink r:id="rId20" w:history="1">
        <w:r w:rsidRPr="00343A98">
          <w:rPr>
            <w:rStyle w:val="Hyperlink"/>
            <w:rFonts w:ascii="Arial" w:eastAsia="Calibri" w:hAnsi="Arial" w:cs="Arial"/>
            <w:sz w:val="20"/>
            <w:szCs w:val="20"/>
            <w:highlight w:val="yellow"/>
          </w:rPr>
          <w:t>https://vamedicaid.dmas.virginia.gov/sites/default/files/2024-10/DME%20Chapter%20IV%20%28updated%2010.24.24%29_Final.pdf</w:t>
        </w:r>
      </w:hyperlink>
    </w:p>
    <w:p w14:paraId="1C811DA8" w14:textId="77777777" w:rsidR="00343A98" w:rsidRPr="00343A98" w:rsidRDefault="00343A98" w:rsidP="00343A98">
      <w:pPr>
        <w:spacing w:after="160" w:line="278" w:lineRule="auto"/>
        <w:ind w:left="720"/>
        <w:contextualSpacing/>
        <w:rPr>
          <w:rFonts w:ascii="Arial" w:eastAsia="Calibri" w:hAnsi="Arial" w:cs="Arial"/>
          <w:sz w:val="20"/>
          <w:szCs w:val="20"/>
          <w:highlight w:val="yellow"/>
        </w:rPr>
      </w:pPr>
    </w:p>
    <w:p w14:paraId="205B78F2" w14:textId="77777777" w:rsidR="00343A98" w:rsidRPr="00343A98" w:rsidRDefault="00343A98" w:rsidP="00343A98">
      <w:pPr>
        <w:spacing w:after="160" w:line="278" w:lineRule="auto"/>
        <w:ind w:left="720"/>
        <w:contextualSpacing/>
        <w:rPr>
          <w:rFonts w:ascii="Arial" w:eastAsia="Calibri" w:hAnsi="Arial" w:cs="Arial"/>
          <w:sz w:val="20"/>
          <w:szCs w:val="20"/>
          <w:highlight w:val="yellow"/>
        </w:rPr>
      </w:pPr>
      <w:r w:rsidRPr="00343A98">
        <w:rPr>
          <w:rFonts w:ascii="Arial" w:eastAsia="Calibri" w:hAnsi="Arial" w:cs="Arial"/>
          <w:sz w:val="20"/>
          <w:szCs w:val="20"/>
          <w:highlight w:val="yellow"/>
        </w:rPr>
        <w:t xml:space="preserve">Standards of Care in Diabetes. (2024). Retrieved 5 2025, from American Diabetes Association (ADA): </w:t>
      </w:r>
      <w:hyperlink r:id="rId21" w:history="1">
        <w:r w:rsidRPr="00343A98">
          <w:rPr>
            <w:rStyle w:val="Hyperlink"/>
            <w:rFonts w:ascii="Arial" w:eastAsia="Calibri" w:hAnsi="Arial" w:cs="Arial"/>
            <w:sz w:val="20"/>
            <w:szCs w:val="20"/>
            <w:highlight w:val="yellow"/>
          </w:rPr>
          <w:t>https://watermark.silverchair.com/dc24srev.pdf?token=AQECAHi208BE49Ooan9kkhW_Ercy7Dm3ZL_9Cf3qfKAc485ysgAAA1UwggNRBgkqhkiG9w0BBwagggNCMIIDPgIBADCCAzcGCSqGSIb3DQEHATAeBglghkgBZQMEAS4wEQQM2g6dGeNPE6a24pjGAgEQgIIDCKVFZYio4X8DA9fNfqMjYUZHcNZP6f3dhjsKiQZI7JUUo8</w:t>
        </w:r>
      </w:hyperlink>
    </w:p>
    <w:p w14:paraId="703B9741" w14:textId="77777777" w:rsidR="00343A98" w:rsidRPr="00343A98" w:rsidRDefault="00343A98" w:rsidP="00343A98">
      <w:pPr>
        <w:spacing w:after="160" w:line="278" w:lineRule="auto"/>
        <w:ind w:left="720"/>
        <w:contextualSpacing/>
        <w:rPr>
          <w:rFonts w:ascii="Arial" w:eastAsia="Calibri" w:hAnsi="Arial" w:cs="Arial"/>
          <w:sz w:val="20"/>
          <w:szCs w:val="20"/>
          <w:highlight w:val="yellow"/>
        </w:rPr>
      </w:pPr>
    </w:p>
    <w:p w14:paraId="3926936C" w14:textId="77777777" w:rsidR="00343A98" w:rsidRPr="00343A98" w:rsidRDefault="00343A98" w:rsidP="00343A98">
      <w:pPr>
        <w:spacing w:after="160" w:line="278" w:lineRule="auto"/>
        <w:ind w:left="720"/>
        <w:contextualSpacing/>
        <w:rPr>
          <w:rFonts w:ascii="Arial" w:eastAsia="Calibri" w:hAnsi="Arial" w:cs="Arial"/>
          <w:sz w:val="20"/>
          <w:szCs w:val="20"/>
        </w:rPr>
      </w:pPr>
      <w:r w:rsidRPr="00343A98">
        <w:rPr>
          <w:rFonts w:ascii="Arial" w:eastAsia="Calibri" w:hAnsi="Arial" w:cs="Arial"/>
          <w:sz w:val="20"/>
          <w:szCs w:val="20"/>
          <w:highlight w:val="yellow"/>
        </w:rPr>
        <w:t xml:space="preserve">The Use of Advanced Technology in the Management of Persons with Diabetes Mellitus. (2021, 5). Retrieved 5 2025, from American Association of Clinical Endocrinology Clinical Practice (AACE) Guideline: </w:t>
      </w:r>
      <w:hyperlink r:id="rId22" w:history="1">
        <w:r w:rsidRPr="00343A98">
          <w:rPr>
            <w:rStyle w:val="Hyperlink"/>
            <w:rFonts w:ascii="Arial" w:eastAsia="Calibri" w:hAnsi="Arial" w:cs="Arial"/>
            <w:sz w:val="20"/>
            <w:szCs w:val="20"/>
            <w:highlight w:val="yellow"/>
          </w:rPr>
          <w:t>https://pdf.sciencedirectassets.com/777989/1-s2.0-S1530891X21X00079/1-s2.0-S1530891X21001658/main.pdf?X-Amz-Security-Token=IQoJb3JpZ2luX2VjEO7%2F%2F%2F%2F%2F%2F%2F%2F%2F%2FwEaCXVzLWVhc3QtMSJHMEUCIDyiX3tJh%2F6I1RUHqL4qjgtC1anwJUhU%2BIcF%2FtfQJAuLAiEAkN0bsZ</w:t>
        </w:r>
      </w:hyperlink>
    </w:p>
    <w:p w14:paraId="17F264FD" w14:textId="77777777" w:rsidR="00343A98" w:rsidRPr="00343A98" w:rsidRDefault="00343A98" w:rsidP="00343A98">
      <w:pPr>
        <w:spacing w:after="160" w:line="278" w:lineRule="auto"/>
        <w:ind w:left="720"/>
        <w:contextualSpacing/>
        <w:rPr>
          <w:rFonts w:ascii="Calibri" w:eastAsia="Calibri" w:hAnsi="Calibri" w:cs="Times New Roman"/>
        </w:rPr>
      </w:pPr>
    </w:p>
    <w:p w14:paraId="4918EDB7" w14:textId="77777777" w:rsidR="00343A98" w:rsidRDefault="00343A98">
      <w:pPr>
        <w:rPr>
          <w:b/>
          <w:sz w:val="28"/>
          <w:szCs w:val="28"/>
          <w:u w:val="single"/>
        </w:rPr>
      </w:pPr>
    </w:p>
    <w:p w14:paraId="5C645AF9" w14:textId="77777777" w:rsidR="009C7584" w:rsidRDefault="009C7584">
      <w:pPr>
        <w:rPr>
          <w:sz w:val="28"/>
          <w:szCs w:val="28"/>
        </w:rPr>
      </w:pPr>
      <w:r w:rsidRPr="009C7584">
        <w:rPr>
          <w:b/>
          <w:sz w:val="28"/>
          <w:szCs w:val="28"/>
          <w:u w:val="single"/>
        </w:rPr>
        <w:t>Keywords:</w:t>
      </w:r>
    </w:p>
    <w:p w14:paraId="1102E5F7" w14:textId="77777777" w:rsidR="00541D14" w:rsidRPr="00343A98" w:rsidRDefault="0022635F" w:rsidP="007F01A3">
      <w:pPr>
        <w:rPr>
          <w:rFonts w:ascii="Arial" w:hAnsi="Arial" w:cs="Arial"/>
          <w:sz w:val="20"/>
          <w:szCs w:val="20"/>
        </w:rPr>
      </w:pPr>
      <w:r w:rsidRPr="00343A98">
        <w:rPr>
          <w:rFonts w:ascii="Arial" w:hAnsi="Arial" w:cs="Arial"/>
          <w:sz w:val="20"/>
          <w:szCs w:val="20"/>
        </w:rPr>
        <w:t xml:space="preserve">Continuous Glucose Monitoring, CGM, CGMS, </w:t>
      </w:r>
      <w:proofErr w:type="spellStart"/>
      <w:r w:rsidRPr="00343A98">
        <w:rPr>
          <w:rFonts w:ascii="Arial" w:hAnsi="Arial" w:cs="Arial"/>
          <w:sz w:val="20"/>
          <w:szCs w:val="20"/>
        </w:rPr>
        <w:t>MiniMed</w:t>
      </w:r>
      <w:proofErr w:type="spellEnd"/>
      <w:r w:rsidRPr="00343A98">
        <w:rPr>
          <w:rFonts w:ascii="Arial" w:hAnsi="Arial" w:cs="Arial"/>
          <w:sz w:val="20"/>
          <w:szCs w:val="20"/>
        </w:rPr>
        <w:t xml:space="preserve"> </w:t>
      </w:r>
      <w:r w:rsidR="00137ECB" w:rsidRPr="00343A98">
        <w:rPr>
          <w:rFonts w:ascii="Arial" w:hAnsi="Arial" w:cs="Arial"/>
          <w:sz w:val="20"/>
          <w:szCs w:val="20"/>
        </w:rPr>
        <w:t xml:space="preserve">, shp </w:t>
      </w:r>
      <w:proofErr w:type="spellStart"/>
      <w:r w:rsidR="00137ECB" w:rsidRPr="00343A98">
        <w:rPr>
          <w:rFonts w:ascii="Arial" w:hAnsi="Arial" w:cs="Arial"/>
          <w:sz w:val="20"/>
          <w:szCs w:val="20"/>
        </w:rPr>
        <w:t>dme</w:t>
      </w:r>
      <w:proofErr w:type="spellEnd"/>
      <w:r w:rsidR="00137ECB" w:rsidRPr="00343A98">
        <w:rPr>
          <w:rFonts w:ascii="Arial" w:hAnsi="Arial" w:cs="Arial"/>
          <w:sz w:val="20"/>
          <w:szCs w:val="20"/>
        </w:rPr>
        <w:t>, durable medical equipment 10</w:t>
      </w:r>
      <w:r w:rsidR="007C3110" w:rsidRPr="00343A98">
        <w:rPr>
          <w:rFonts w:ascii="Arial" w:hAnsi="Arial" w:cs="Arial"/>
          <w:sz w:val="20"/>
          <w:szCs w:val="20"/>
        </w:rPr>
        <w:t xml:space="preserve">, type 1 diabetes, type 2 diabetes, glycemic control, hypoglycemic, </w:t>
      </w:r>
      <w:r w:rsidR="007F01A3" w:rsidRPr="00343A98">
        <w:rPr>
          <w:rFonts w:ascii="Arial" w:hAnsi="Arial" w:cs="Arial"/>
          <w:sz w:val="20"/>
          <w:szCs w:val="20"/>
        </w:rPr>
        <w:t>hyperglycemia, diabetes mellitus, Long-term continuous glucose monitoring, Short-term continuous glucose monitoring</w:t>
      </w:r>
      <w:r w:rsidR="00F23352" w:rsidRPr="00343A98">
        <w:rPr>
          <w:rFonts w:ascii="Arial" w:hAnsi="Arial" w:cs="Arial"/>
          <w:sz w:val="20"/>
          <w:szCs w:val="20"/>
        </w:rPr>
        <w:t>, gestational diabetes</w:t>
      </w:r>
      <w:r w:rsidR="00FA4499" w:rsidRPr="00343A98">
        <w:rPr>
          <w:rFonts w:ascii="Arial" w:hAnsi="Arial" w:cs="Arial"/>
          <w:sz w:val="20"/>
          <w:szCs w:val="20"/>
        </w:rPr>
        <w:t xml:space="preserve">, </w:t>
      </w:r>
      <w:proofErr w:type="spellStart"/>
      <w:r w:rsidR="00FA4499" w:rsidRPr="00343A98">
        <w:rPr>
          <w:rFonts w:ascii="Arial" w:hAnsi="Arial" w:cs="Arial"/>
          <w:sz w:val="20"/>
          <w:szCs w:val="20"/>
        </w:rPr>
        <w:t>Eversense</w:t>
      </w:r>
      <w:proofErr w:type="spellEnd"/>
      <w:r w:rsidR="00FA4499" w:rsidRPr="00343A98">
        <w:rPr>
          <w:rFonts w:ascii="Arial" w:hAnsi="Arial" w:cs="Arial"/>
          <w:sz w:val="20"/>
          <w:szCs w:val="20"/>
        </w:rPr>
        <w:t>, Dexcom, Libre Rio, Freestyle Libre</w:t>
      </w:r>
    </w:p>
    <w:p w14:paraId="373CF099" w14:textId="77777777" w:rsidR="00343A98" w:rsidRDefault="00343A98" w:rsidP="00343A98">
      <w:pPr>
        <w:pStyle w:val="NormalWeb"/>
        <w:spacing w:before="0" w:beforeAutospacing="0" w:after="200" w:afterAutospacing="0"/>
        <w:rPr>
          <w:rFonts w:ascii="Calibri" w:hAnsi="Calibri" w:cs="Calibri"/>
          <w:sz w:val="32"/>
          <w:szCs w:val="32"/>
        </w:rPr>
      </w:pPr>
      <w:r>
        <w:rPr>
          <w:rFonts w:ascii="Calibri" w:hAnsi="Calibri" w:cs="Calibri"/>
          <w:b/>
          <w:bCs/>
          <w:sz w:val="32"/>
          <w:szCs w:val="32"/>
          <w:u w:val="single"/>
        </w:rPr>
        <w:t>Codes:</w:t>
      </w:r>
    </w:p>
    <w:p w14:paraId="37E6FC71" w14:textId="77777777" w:rsidR="00343A98" w:rsidRDefault="00343A98" w:rsidP="00343A98">
      <w:pPr>
        <w:pStyle w:val="NormalWeb"/>
        <w:spacing w:before="0" w:beforeAutospacing="0" w:after="200" w:afterAutospacing="0"/>
        <w:rPr>
          <w:rFonts w:ascii="Calibri" w:hAnsi="Calibri" w:cs="Calibri"/>
        </w:rPr>
      </w:pPr>
      <w:r>
        <w:rPr>
          <w:rFonts w:ascii="Calibri" w:hAnsi="Calibri" w:cs="Calibri"/>
          <w:b/>
          <w:bCs/>
        </w:rPr>
        <w:t xml:space="preserve">Add codes to pay list: Refer to codes under medically necessary section. </w:t>
      </w:r>
    </w:p>
    <w:p w14:paraId="336F533E" w14:textId="77777777" w:rsidR="00343A98" w:rsidRDefault="00343A98" w:rsidP="00343A98">
      <w:pPr>
        <w:pStyle w:val="NormalWeb"/>
        <w:spacing w:before="0" w:beforeAutospacing="0" w:after="200" w:afterAutospacing="0"/>
        <w:rPr>
          <w:rFonts w:ascii="Calibri" w:hAnsi="Calibri" w:cs="Calibri"/>
        </w:rPr>
      </w:pPr>
      <w:r>
        <w:rPr>
          <w:rFonts w:ascii="Calibri" w:hAnsi="Calibri" w:cs="Calibri"/>
          <w:b/>
          <w:bCs/>
        </w:rPr>
        <w:t>Add codes to pend list: Refer to codes under NOT medically necessary section.</w:t>
      </w:r>
    </w:p>
    <w:p w14:paraId="50D94358" w14:textId="77777777" w:rsidR="00343A98" w:rsidRDefault="00343A98" w:rsidP="00343A98">
      <w:pPr>
        <w:pStyle w:val="NormalWeb"/>
        <w:spacing w:before="0" w:beforeAutospacing="0" w:after="200" w:afterAutospacing="0"/>
        <w:rPr>
          <w:rFonts w:ascii="Calibri" w:hAnsi="Calibri" w:cs="Calibri"/>
          <w:sz w:val="32"/>
          <w:szCs w:val="32"/>
        </w:rPr>
      </w:pPr>
      <w:r>
        <w:rPr>
          <w:rFonts w:ascii="Calibri" w:hAnsi="Calibri" w:cs="Calibri"/>
          <w:b/>
          <w:bCs/>
          <w:sz w:val="32"/>
          <w:szCs w:val="32"/>
          <w:u w:val="single"/>
        </w:rPr>
        <w:t>Policy Updates:</w:t>
      </w:r>
    </w:p>
    <w:p w14:paraId="31091F98" w14:textId="2EB52008" w:rsidR="0079354B" w:rsidRDefault="00343A98" w:rsidP="00566FEA">
      <w:pPr>
        <w:pStyle w:val="NormalWeb"/>
        <w:spacing w:before="0" w:beforeAutospacing="0" w:after="200" w:afterAutospacing="0"/>
        <w:rPr>
          <w:rFonts w:ascii="Calibri" w:hAnsi="Calibri" w:cs="Calibri"/>
          <w:b/>
          <w:bCs/>
        </w:rPr>
      </w:pPr>
      <w:r>
        <w:rPr>
          <w:rFonts w:ascii="Calibri" w:hAnsi="Calibri" w:cs="Calibri"/>
          <w:b/>
          <w:bCs/>
        </w:rPr>
        <w:t>Notes for MCG Implementation:</w:t>
      </w:r>
    </w:p>
    <w:p w14:paraId="460DD6B8" w14:textId="69A60961" w:rsidR="0079354B" w:rsidRPr="009C7584" w:rsidRDefault="00C72FC0" w:rsidP="00C72FC0">
      <w:pPr>
        <w:rPr>
          <w:sz w:val="28"/>
          <w:szCs w:val="28"/>
        </w:rPr>
      </w:pPr>
      <w:r w:rsidRPr="00C72FC0">
        <w:rPr>
          <w:sz w:val="28"/>
          <w:szCs w:val="28"/>
        </w:rPr>
        <w:lastRenderedPageBreak/>
        <w:t>Activate Commercial and Medicaid. Deactivate Medicare if applicable.</w:t>
      </w:r>
    </w:p>
    <w:p w14:paraId="1BF33C25" w14:textId="77777777" w:rsidR="00A417D2" w:rsidRDefault="00A417D2" w:rsidP="00A417D2"/>
    <w:sectPr w:rsidR="00A417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862C7" w14:textId="77777777" w:rsidR="00C72FC0" w:rsidRDefault="00C72FC0" w:rsidP="00C72FC0">
      <w:pPr>
        <w:spacing w:after="0" w:line="240" w:lineRule="auto"/>
      </w:pPr>
      <w:r>
        <w:separator/>
      </w:r>
    </w:p>
  </w:endnote>
  <w:endnote w:type="continuationSeparator" w:id="0">
    <w:p w14:paraId="1C4E2596" w14:textId="77777777" w:rsidR="00C72FC0" w:rsidRDefault="00C72FC0" w:rsidP="00C72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C917C" w14:textId="77777777" w:rsidR="00C72FC0" w:rsidRDefault="00C72FC0" w:rsidP="00C72FC0">
      <w:pPr>
        <w:spacing w:after="0" w:line="240" w:lineRule="auto"/>
      </w:pPr>
      <w:r>
        <w:separator/>
      </w:r>
    </w:p>
  </w:footnote>
  <w:footnote w:type="continuationSeparator" w:id="0">
    <w:p w14:paraId="602FC906" w14:textId="77777777" w:rsidR="00C72FC0" w:rsidRDefault="00C72FC0" w:rsidP="00C72F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7A0E"/>
    <w:multiLevelType w:val="hybridMultilevel"/>
    <w:tmpl w:val="2DF2103A"/>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0A5D532D"/>
    <w:multiLevelType w:val="hybridMultilevel"/>
    <w:tmpl w:val="4BA67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05031"/>
    <w:multiLevelType w:val="hybridMultilevel"/>
    <w:tmpl w:val="4058F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63A68"/>
    <w:multiLevelType w:val="hybridMultilevel"/>
    <w:tmpl w:val="2F9E2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D42F32"/>
    <w:multiLevelType w:val="hybridMultilevel"/>
    <w:tmpl w:val="A17A675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EA6574B"/>
    <w:multiLevelType w:val="hybridMultilevel"/>
    <w:tmpl w:val="670A8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651F4"/>
    <w:multiLevelType w:val="hybridMultilevel"/>
    <w:tmpl w:val="9766C98E"/>
    <w:lvl w:ilvl="0" w:tplc="77C67EB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7D3636"/>
    <w:multiLevelType w:val="hybridMultilevel"/>
    <w:tmpl w:val="7DCA1B8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1464237"/>
    <w:multiLevelType w:val="multilevel"/>
    <w:tmpl w:val="F6C0C5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D4C65ED"/>
    <w:multiLevelType w:val="hybridMultilevel"/>
    <w:tmpl w:val="5E788B50"/>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EB80DD6"/>
    <w:multiLevelType w:val="hybridMultilevel"/>
    <w:tmpl w:val="F65A6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302356"/>
    <w:multiLevelType w:val="multilevel"/>
    <w:tmpl w:val="B874D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944CE6"/>
    <w:multiLevelType w:val="hybridMultilevel"/>
    <w:tmpl w:val="B72EF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C5781A"/>
    <w:multiLevelType w:val="multilevel"/>
    <w:tmpl w:val="5F8C1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350" w:hanging="360"/>
      </w:pPr>
      <w:rPr>
        <w:rFonts w:ascii="Courier New" w:hAnsi="Courier New" w:cs="Courier New"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1612947">
    <w:abstractNumId w:val="12"/>
  </w:num>
  <w:num w:numId="2" w16cid:durableId="1344017612">
    <w:abstractNumId w:val="11"/>
  </w:num>
  <w:num w:numId="3" w16cid:durableId="654184441">
    <w:abstractNumId w:val="11"/>
  </w:num>
  <w:num w:numId="4" w16cid:durableId="591204250">
    <w:abstractNumId w:val="2"/>
  </w:num>
  <w:num w:numId="5" w16cid:durableId="821850151">
    <w:abstractNumId w:val="6"/>
  </w:num>
  <w:num w:numId="6" w16cid:durableId="66534815">
    <w:abstractNumId w:val="3"/>
  </w:num>
  <w:num w:numId="7" w16cid:durableId="667102406">
    <w:abstractNumId w:val="10"/>
  </w:num>
  <w:num w:numId="8" w16cid:durableId="820121616">
    <w:abstractNumId w:val="9"/>
  </w:num>
  <w:num w:numId="9" w16cid:durableId="995916358">
    <w:abstractNumId w:val="7"/>
  </w:num>
  <w:num w:numId="10" w16cid:durableId="1137603719">
    <w:abstractNumId w:val="13"/>
  </w:num>
  <w:num w:numId="11" w16cid:durableId="2021424120">
    <w:abstractNumId w:val="5"/>
  </w:num>
  <w:num w:numId="12" w16cid:durableId="1205173867">
    <w:abstractNumId w:val="0"/>
  </w:num>
  <w:num w:numId="13" w16cid:durableId="1029794518">
    <w:abstractNumId w:val="4"/>
  </w:num>
  <w:num w:numId="14" w16cid:durableId="776678968">
    <w:abstractNumId w:val="8"/>
  </w:num>
  <w:num w:numId="15" w16cid:durableId="2065131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265"/>
    <w:rsid w:val="000015B3"/>
    <w:rsid w:val="0001025B"/>
    <w:rsid w:val="0001158C"/>
    <w:rsid w:val="00025268"/>
    <w:rsid w:val="00060963"/>
    <w:rsid w:val="0007159B"/>
    <w:rsid w:val="000747D3"/>
    <w:rsid w:val="000775CA"/>
    <w:rsid w:val="000934EA"/>
    <w:rsid w:val="000D1FC0"/>
    <w:rsid w:val="000D4406"/>
    <w:rsid w:val="000D4906"/>
    <w:rsid w:val="000D508E"/>
    <w:rsid w:val="000F6F59"/>
    <w:rsid w:val="000F73F9"/>
    <w:rsid w:val="00114BD1"/>
    <w:rsid w:val="00134337"/>
    <w:rsid w:val="00137ECB"/>
    <w:rsid w:val="00161BCF"/>
    <w:rsid w:val="001650E8"/>
    <w:rsid w:val="00175DA8"/>
    <w:rsid w:val="001805DD"/>
    <w:rsid w:val="0018617C"/>
    <w:rsid w:val="00193F02"/>
    <w:rsid w:val="001C6BD0"/>
    <w:rsid w:val="001D5BB4"/>
    <w:rsid w:val="001E4AA5"/>
    <w:rsid w:val="001F0782"/>
    <w:rsid w:val="00215BD6"/>
    <w:rsid w:val="00225242"/>
    <w:rsid w:val="0022635F"/>
    <w:rsid w:val="00246265"/>
    <w:rsid w:val="00284A14"/>
    <w:rsid w:val="00286BFC"/>
    <w:rsid w:val="00291640"/>
    <w:rsid w:val="002922AA"/>
    <w:rsid w:val="002B72E3"/>
    <w:rsid w:val="002C78F2"/>
    <w:rsid w:val="002D6ED2"/>
    <w:rsid w:val="002E6EE6"/>
    <w:rsid w:val="00310BA9"/>
    <w:rsid w:val="003158CA"/>
    <w:rsid w:val="00321C7B"/>
    <w:rsid w:val="00331A45"/>
    <w:rsid w:val="0033235E"/>
    <w:rsid w:val="00332527"/>
    <w:rsid w:val="00343A98"/>
    <w:rsid w:val="00361EB4"/>
    <w:rsid w:val="00393175"/>
    <w:rsid w:val="003B6737"/>
    <w:rsid w:val="003F57C5"/>
    <w:rsid w:val="00405ED7"/>
    <w:rsid w:val="00416212"/>
    <w:rsid w:val="00434D1C"/>
    <w:rsid w:val="004C1AC1"/>
    <w:rsid w:val="004C78A8"/>
    <w:rsid w:val="004C7BB8"/>
    <w:rsid w:val="004D347B"/>
    <w:rsid w:val="004E71E8"/>
    <w:rsid w:val="0050058C"/>
    <w:rsid w:val="0050203E"/>
    <w:rsid w:val="0050599D"/>
    <w:rsid w:val="00535AD4"/>
    <w:rsid w:val="005404CB"/>
    <w:rsid w:val="00541D14"/>
    <w:rsid w:val="00564372"/>
    <w:rsid w:val="00566FEA"/>
    <w:rsid w:val="00575353"/>
    <w:rsid w:val="00580315"/>
    <w:rsid w:val="005A3F3B"/>
    <w:rsid w:val="005C11F9"/>
    <w:rsid w:val="005C4E11"/>
    <w:rsid w:val="005E3660"/>
    <w:rsid w:val="005E6593"/>
    <w:rsid w:val="006127AE"/>
    <w:rsid w:val="00620A92"/>
    <w:rsid w:val="006424DB"/>
    <w:rsid w:val="00653B23"/>
    <w:rsid w:val="00693F09"/>
    <w:rsid w:val="006A6445"/>
    <w:rsid w:val="006E0F3A"/>
    <w:rsid w:val="0070521D"/>
    <w:rsid w:val="00711B94"/>
    <w:rsid w:val="00722E31"/>
    <w:rsid w:val="0076062D"/>
    <w:rsid w:val="00763594"/>
    <w:rsid w:val="00763DB5"/>
    <w:rsid w:val="007709FB"/>
    <w:rsid w:val="0079354B"/>
    <w:rsid w:val="007A28BC"/>
    <w:rsid w:val="007A7948"/>
    <w:rsid w:val="007B05EC"/>
    <w:rsid w:val="007C3110"/>
    <w:rsid w:val="007D0FC6"/>
    <w:rsid w:val="007D35D8"/>
    <w:rsid w:val="007E3197"/>
    <w:rsid w:val="007E399C"/>
    <w:rsid w:val="007F01A3"/>
    <w:rsid w:val="007F6B6E"/>
    <w:rsid w:val="00802D29"/>
    <w:rsid w:val="00834CBA"/>
    <w:rsid w:val="00843BF3"/>
    <w:rsid w:val="008657AC"/>
    <w:rsid w:val="008A66C8"/>
    <w:rsid w:val="008B36DC"/>
    <w:rsid w:val="008C08C3"/>
    <w:rsid w:val="008C342F"/>
    <w:rsid w:val="008D1584"/>
    <w:rsid w:val="008D48E5"/>
    <w:rsid w:val="008E0F10"/>
    <w:rsid w:val="0090001B"/>
    <w:rsid w:val="00902112"/>
    <w:rsid w:val="00943621"/>
    <w:rsid w:val="00963573"/>
    <w:rsid w:val="00976DAE"/>
    <w:rsid w:val="00981FB9"/>
    <w:rsid w:val="00983C66"/>
    <w:rsid w:val="0099618D"/>
    <w:rsid w:val="009C1CB6"/>
    <w:rsid w:val="009C2999"/>
    <w:rsid w:val="009C31C6"/>
    <w:rsid w:val="009C4F87"/>
    <w:rsid w:val="009C7584"/>
    <w:rsid w:val="009D5912"/>
    <w:rsid w:val="00A02BAA"/>
    <w:rsid w:val="00A03551"/>
    <w:rsid w:val="00A21662"/>
    <w:rsid w:val="00A417D2"/>
    <w:rsid w:val="00A5259C"/>
    <w:rsid w:val="00A569CD"/>
    <w:rsid w:val="00A9248C"/>
    <w:rsid w:val="00AD2C6A"/>
    <w:rsid w:val="00AE14D0"/>
    <w:rsid w:val="00AF1A9C"/>
    <w:rsid w:val="00B02CFE"/>
    <w:rsid w:val="00B4027D"/>
    <w:rsid w:val="00B430BE"/>
    <w:rsid w:val="00B561E9"/>
    <w:rsid w:val="00B62670"/>
    <w:rsid w:val="00B714BB"/>
    <w:rsid w:val="00B749EF"/>
    <w:rsid w:val="00BB053D"/>
    <w:rsid w:val="00BB5551"/>
    <w:rsid w:val="00BC4933"/>
    <w:rsid w:val="00BC5D06"/>
    <w:rsid w:val="00BD172A"/>
    <w:rsid w:val="00C21980"/>
    <w:rsid w:val="00C43C62"/>
    <w:rsid w:val="00C5263F"/>
    <w:rsid w:val="00C72FC0"/>
    <w:rsid w:val="00C979C9"/>
    <w:rsid w:val="00CA6576"/>
    <w:rsid w:val="00CB795C"/>
    <w:rsid w:val="00CC3B06"/>
    <w:rsid w:val="00CD3E68"/>
    <w:rsid w:val="00CD5347"/>
    <w:rsid w:val="00CE7550"/>
    <w:rsid w:val="00D06836"/>
    <w:rsid w:val="00D138BD"/>
    <w:rsid w:val="00D164B0"/>
    <w:rsid w:val="00D40CE5"/>
    <w:rsid w:val="00D601B4"/>
    <w:rsid w:val="00D647A4"/>
    <w:rsid w:val="00D74684"/>
    <w:rsid w:val="00D8288D"/>
    <w:rsid w:val="00DA0710"/>
    <w:rsid w:val="00DA6E83"/>
    <w:rsid w:val="00DD4EF8"/>
    <w:rsid w:val="00DF17FF"/>
    <w:rsid w:val="00DF42E6"/>
    <w:rsid w:val="00E0005C"/>
    <w:rsid w:val="00E20ECB"/>
    <w:rsid w:val="00E21ED2"/>
    <w:rsid w:val="00E53E11"/>
    <w:rsid w:val="00E74D4A"/>
    <w:rsid w:val="00E935BC"/>
    <w:rsid w:val="00EB493B"/>
    <w:rsid w:val="00ED1004"/>
    <w:rsid w:val="00EF40DC"/>
    <w:rsid w:val="00F23352"/>
    <w:rsid w:val="00F27F8D"/>
    <w:rsid w:val="00F44A5D"/>
    <w:rsid w:val="00F462E5"/>
    <w:rsid w:val="00F5695E"/>
    <w:rsid w:val="00F60DB5"/>
    <w:rsid w:val="00F64AFB"/>
    <w:rsid w:val="00F64FD4"/>
    <w:rsid w:val="00F9054B"/>
    <w:rsid w:val="00FA0E52"/>
    <w:rsid w:val="00FA4499"/>
    <w:rsid w:val="00FA75C1"/>
    <w:rsid w:val="00FA7796"/>
    <w:rsid w:val="00FB252D"/>
    <w:rsid w:val="00FD5920"/>
    <w:rsid w:val="00FD7942"/>
    <w:rsid w:val="00FE14B4"/>
    <w:rsid w:val="00FE7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7D056"/>
  <w15:docId w15:val="{2FA4E692-9DF8-4CCA-9E3A-D19FA192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259C"/>
    <w:pPr>
      <w:ind w:left="720"/>
      <w:contextualSpacing/>
    </w:pPr>
  </w:style>
  <w:style w:type="paragraph" w:styleId="BalloonText">
    <w:name w:val="Balloon Text"/>
    <w:basedOn w:val="Normal"/>
    <w:link w:val="BalloonTextChar"/>
    <w:uiPriority w:val="99"/>
    <w:semiHidden/>
    <w:unhideWhenUsed/>
    <w:rsid w:val="00434D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D1C"/>
    <w:rPr>
      <w:rFonts w:ascii="Tahoma" w:hAnsi="Tahoma" w:cs="Tahoma"/>
      <w:sz w:val="16"/>
      <w:szCs w:val="16"/>
    </w:rPr>
  </w:style>
  <w:style w:type="character" w:styleId="Hyperlink">
    <w:name w:val="Hyperlink"/>
    <w:basedOn w:val="DefaultParagraphFont"/>
    <w:uiPriority w:val="99"/>
    <w:unhideWhenUsed/>
    <w:rsid w:val="00BB5551"/>
    <w:rPr>
      <w:color w:val="0000FF" w:themeColor="hyperlink"/>
      <w:u w:val="single"/>
    </w:rPr>
  </w:style>
  <w:style w:type="character" w:styleId="UnresolvedMention">
    <w:name w:val="Unresolved Mention"/>
    <w:basedOn w:val="DefaultParagraphFont"/>
    <w:uiPriority w:val="99"/>
    <w:semiHidden/>
    <w:unhideWhenUsed/>
    <w:rsid w:val="00343A98"/>
    <w:rPr>
      <w:color w:val="605E5C"/>
      <w:shd w:val="clear" w:color="auto" w:fill="E1DFDD"/>
    </w:rPr>
  </w:style>
  <w:style w:type="paragraph" w:styleId="NormalWeb">
    <w:name w:val="Normal (Web)"/>
    <w:basedOn w:val="Normal"/>
    <w:uiPriority w:val="99"/>
    <w:unhideWhenUsed/>
    <w:rsid w:val="00343A9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72F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FC0"/>
  </w:style>
  <w:style w:type="paragraph" w:styleId="Footer">
    <w:name w:val="footer"/>
    <w:basedOn w:val="Normal"/>
    <w:link w:val="FooterChar"/>
    <w:uiPriority w:val="99"/>
    <w:unhideWhenUsed/>
    <w:rsid w:val="00C72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52705">
      <w:bodyDiv w:val="1"/>
      <w:marLeft w:val="0"/>
      <w:marRight w:val="0"/>
      <w:marTop w:val="0"/>
      <w:marBottom w:val="0"/>
      <w:divBdr>
        <w:top w:val="none" w:sz="0" w:space="0" w:color="auto"/>
        <w:left w:val="none" w:sz="0" w:space="0" w:color="auto"/>
        <w:bottom w:val="none" w:sz="0" w:space="0" w:color="auto"/>
        <w:right w:val="none" w:sz="0" w:space="0" w:color="auto"/>
      </w:divBdr>
    </w:div>
    <w:div w:id="1276064175">
      <w:bodyDiv w:val="1"/>
      <w:marLeft w:val="0"/>
      <w:marRight w:val="0"/>
      <w:marTop w:val="0"/>
      <w:marBottom w:val="0"/>
      <w:divBdr>
        <w:top w:val="none" w:sz="0" w:space="0" w:color="auto"/>
        <w:left w:val="none" w:sz="0" w:space="0" w:color="auto"/>
        <w:bottom w:val="none" w:sz="0" w:space="0" w:color="auto"/>
        <w:right w:val="none" w:sz="0" w:space="0" w:color="auto"/>
      </w:divBdr>
      <w:divsChild>
        <w:div w:id="991256668">
          <w:marLeft w:val="0"/>
          <w:marRight w:val="0"/>
          <w:marTop w:val="0"/>
          <w:marBottom w:val="0"/>
          <w:divBdr>
            <w:top w:val="none" w:sz="0" w:space="0" w:color="auto"/>
            <w:left w:val="none" w:sz="0" w:space="0" w:color="auto"/>
            <w:bottom w:val="none" w:sz="0" w:space="0" w:color="auto"/>
            <w:right w:val="none" w:sz="0" w:space="0" w:color="auto"/>
          </w:divBdr>
        </w:div>
      </w:divsChild>
    </w:div>
    <w:div w:id="1339776358">
      <w:bodyDiv w:val="1"/>
      <w:marLeft w:val="0"/>
      <w:marRight w:val="0"/>
      <w:marTop w:val="0"/>
      <w:marBottom w:val="0"/>
      <w:divBdr>
        <w:top w:val="none" w:sz="0" w:space="0" w:color="auto"/>
        <w:left w:val="none" w:sz="0" w:space="0" w:color="auto"/>
        <w:bottom w:val="none" w:sz="0" w:space="0" w:color="auto"/>
        <w:right w:val="none" w:sz="0" w:space="0" w:color="auto"/>
      </w:divBdr>
    </w:div>
    <w:div w:id="1474181490">
      <w:bodyDiv w:val="1"/>
      <w:marLeft w:val="0"/>
      <w:marRight w:val="0"/>
      <w:marTop w:val="0"/>
      <w:marBottom w:val="0"/>
      <w:divBdr>
        <w:top w:val="none" w:sz="0" w:space="0" w:color="auto"/>
        <w:left w:val="none" w:sz="0" w:space="0" w:color="auto"/>
        <w:bottom w:val="none" w:sz="0" w:space="0" w:color="auto"/>
        <w:right w:val="none" w:sz="0" w:space="0" w:color="auto"/>
      </w:divBdr>
      <w:divsChild>
        <w:div w:id="162204838">
          <w:marLeft w:val="0"/>
          <w:marRight w:val="0"/>
          <w:marTop w:val="0"/>
          <w:marBottom w:val="0"/>
          <w:divBdr>
            <w:top w:val="none" w:sz="0" w:space="0" w:color="auto"/>
            <w:left w:val="none" w:sz="0" w:space="0" w:color="auto"/>
            <w:bottom w:val="none" w:sz="0" w:space="0" w:color="auto"/>
            <w:right w:val="none" w:sz="0" w:space="0" w:color="auto"/>
          </w:divBdr>
        </w:div>
      </w:divsChild>
    </w:div>
    <w:div w:id="1669095794">
      <w:bodyDiv w:val="1"/>
      <w:marLeft w:val="120"/>
      <w:marRight w:val="24"/>
      <w:marTop w:val="0"/>
      <w:marBottom w:val="12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eweb.careguidelines.com/ed28/" TargetMode="External"/><Relationship Id="rId18" Type="http://schemas.openxmlformats.org/officeDocument/2006/relationships/hyperlink" Target="https://pro.aace.com/cgm/toolkit/cgm-device-comparison" TargetMode="External"/><Relationship Id="rId3" Type="http://schemas.openxmlformats.org/officeDocument/2006/relationships/customXml" Target="../customXml/item3.xml"/><Relationship Id="rId21" Type="http://schemas.openxmlformats.org/officeDocument/2006/relationships/hyperlink" Target="https://watermark.silverchair.com/dc24srev.pdf?token=AQECAHi208BE49Ooan9kkhW_Ercy7Dm3ZL_9Cf3qfKAc485ysgAAA1UwggNRBgkqhkiG9w0BBwagggNCMIIDPgIBADCCAzcGCSqGSIb3DQEHATAeBglghkgBZQMEAS4wEQQM2g6dGeNPE6a24pjGAgEQgIIDCKVFZYio4X8DA9fNfqMjYUZHcNZP6f3dhjsKiQZI7JUUo8" TargetMode="External"/><Relationship Id="rId7" Type="http://schemas.openxmlformats.org/officeDocument/2006/relationships/settings" Target="settings.xml"/><Relationship Id="rId12" Type="http://schemas.openxmlformats.org/officeDocument/2006/relationships/hyperlink" Target="https://www.cms.gov/medicare-coverage-database/view/ncd.aspx?ncdid=92&amp;ncdver=1&amp;keywordtype=starts&amp;keyword=Glucose&amp;bc=0" TargetMode="External"/><Relationship Id="rId17" Type="http://schemas.openxmlformats.org/officeDocument/2006/relationships/hyperlink" Target="https://www.uptodate.com/contents/glucose-monitoring-in-the-ambulatory-management-of-nonpregnant-adults-with-diabetes-mellitus?search=continuous%20glucose%20monitoring&amp;sectionRank=1&amp;usage_type=default&amp;anchor=H3265323770&amp;source=machineLearning&amp;selectedTitl" TargetMode="External"/><Relationship Id="rId2" Type="http://schemas.openxmlformats.org/officeDocument/2006/relationships/customXml" Target="../customXml/item2.xml"/><Relationship Id="rId16" Type="http://schemas.openxmlformats.org/officeDocument/2006/relationships/hyperlink" Target="https://www.niddk.nih.gov/health-information/diabetes/overview/managing-diabetes/continuous-glucose-monitoring" TargetMode="External"/><Relationship Id="rId20" Type="http://schemas.openxmlformats.org/officeDocument/2006/relationships/hyperlink" Target="https://vamedicaid.dmas.virginia.gov/sites/default/files/2024-10/DME%20Chapter%20IV%20%28updated%2010.24.24%29_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gov/medicare-coverage-database/view/ncd.aspx?ncdid=98&amp;ncdver=2&amp;keywordtype=starts&amp;keyword=Glucose&amp;bc=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cademic.oup.com/jcem/article/104/5/1520/5413486"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ms.gov/medicare-coverage-database/view/lcd.aspx?lcdId=38743&amp;ver=1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vidence.hayesinc.com/search?q=%257B%2522text%2522:%2522%25E2%2580%25A2%255CtContinuous%2520glucose%2520monitoring%2520%2522,%2522title%2522:null,%2522termsource%2522:%2522searchbar%2522,%2522page%2522:%257B%2522page%2522:0,%2522size%2522:50%257D" TargetMode="External"/><Relationship Id="rId22" Type="http://schemas.openxmlformats.org/officeDocument/2006/relationships/hyperlink" Target="https://pdf.sciencedirectassets.com/777989/1-s2.0-S1530891X21X00079/1-s2.0-S1530891X21001658/main.pdf?X-Amz-Security-Token=IQoJb3JpZ2luX2VjEO7%2F%2F%2F%2F%2F%2F%2F%2F%2F%2FwEaCXVzLWVhc3QtMSJHMEUCIDyiX3tJh%2F6I1RUHqL4qjgtC1anwJUhU%2BIcF%2FtfQJAuLAiEAkN0bs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de9d04-6c88-4401-b61a-65e47e726f10">
      <Terms xmlns="http://schemas.microsoft.com/office/infopath/2007/PartnerControls"/>
    </lcf76f155ced4ddcb4097134ff3c332f>
    <TaxCatchAll xmlns="f9768e83-f614-4cdf-8564-028351268196" xsi:nil="true"/>
    <Keep xmlns="c7de9d04-6c88-4401-b61a-65e47e726f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BC17FDE0FBD040A0E65E1DCD6760D4" ma:contentTypeVersion="16" ma:contentTypeDescription="Create a new document." ma:contentTypeScope="" ma:versionID="118b61e3cb1c0f20fea5360469633d8b">
  <xsd:schema xmlns:xsd="http://www.w3.org/2001/XMLSchema" xmlns:xs="http://www.w3.org/2001/XMLSchema" xmlns:p="http://schemas.microsoft.com/office/2006/metadata/properties" xmlns:ns2="c7de9d04-6c88-4401-b61a-65e47e726f10" xmlns:ns3="f9768e83-f614-4cdf-8564-028351268196" targetNamespace="http://schemas.microsoft.com/office/2006/metadata/properties" ma:root="true" ma:fieldsID="41b304cccfccde69fc741f58135d4afb" ns2:_="" ns3:_="">
    <xsd:import namespace="c7de9d04-6c88-4401-b61a-65e47e726f10"/>
    <xsd:import namespace="f9768e83-f614-4cdf-8564-0283512681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Keep"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e9d04-6c88-4401-b61a-65e47e726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68e1ee2-c987-4d7e-90ff-34257660427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Keep" ma:index="16" nillable="true" ma:displayName="Keep" ma:format="Dropdown" ma:internalName="Keep">
      <xsd:simpleType>
        <xsd:restriction base="dms:Text">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768e83-f614-4cdf-8564-0283512681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61aafbd-cd74-4784-92dd-4d65504df96f}" ma:internalName="TaxCatchAll" ma:showField="CatchAllData" ma:web="f9768e83-f614-4cdf-8564-02835126819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F12E2-D6D6-43AC-9311-7561222EFC6F}">
  <ds:schemaRefs>
    <ds:schemaRef ds:uri="http://schemas.microsoft.com/office/2006/metadata/properties"/>
    <ds:schemaRef ds:uri="http://schemas.microsoft.com/office/infopath/2007/PartnerControls"/>
    <ds:schemaRef ds:uri="c7de9d04-6c88-4401-b61a-65e47e726f10"/>
    <ds:schemaRef ds:uri="f9768e83-f614-4cdf-8564-028351268196"/>
  </ds:schemaRefs>
</ds:datastoreItem>
</file>

<file path=customXml/itemProps2.xml><?xml version="1.0" encoding="utf-8"?>
<ds:datastoreItem xmlns:ds="http://schemas.openxmlformats.org/officeDocument/2006/customXml" ds:itemID="{D9B7059B-097F-4A5C-8326-FFB496992104}">
  <ds:schemaRefs>
    <ds:schemaRef ds:uri="http://schemas.microsoft.com/sharepoint/v3/contenttype/forms"/>
  </ds:schemaRefs>
</ds:datastoreItem>
</file>

<file path=customXml/itemProps3.xml><?xml version="1.0" encoding="utf-8"?>
<ds:datastoreItem xmlns:ds="http://schemas.openxmlformats.org/officeDocument/2006/customXml" ds:itemID="{014FC0C3-CF72-44DF-95DB-7DD80E7EC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e9d04-6c88-4401-b61a-65e47e726f10"/>
    <ds:schemaRef ds:uri="f9768e83-f614-4cdf-8564-028351268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D3C2D2-187C-4F93-8BE5-D6EB9F973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2086</Words>
  <Characters>11893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Sentara Healthcare</Company>
  <LinksUpToDate>false</LinksUpToDate>
  <CharactersWithSpaces>13952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Sentara Healthcare</dc:creator>
  <cp:lastModifiedBy>JESSICA M DILLARD</cp:lastModifiedBy>
  <cp:revision>4</cp:revision>
  <cp:lastPrinted>2016-11-02T13:57:00Z</cp:lastPrinted>
  <dcterms:created xsi:type="dcterms:W3CDTF">2025-12-02T18:30:00Z</dcterms:created>
  <dcterms:modified xsi:type="dcterms:W3CDTF">2025-12-23T18:41:00Z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0x0101007FBC17FDE0FBD040A0E65E1DCD6760D4</vt:lpwstr>
  </property>
  <property fmtid="{D5CDD505-2E9C-101B-9397-08002B2CF9AE}" pid="3" name="MediaServiceImageTags">
    <vt:lpwstr/>
  </property>
</Properties>
</file>